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9513" w14:textId="77777777" w:rsidR="00FA0412" w:rsidRDefault="00FA0412">
      <w:pPr>
        <w:pStyle w:val="ac"/>
        <w:jc w:val="left"/>
        <w:outlineLvl w:val="9"/>
      </w:pPr>
    </w:p>
    <w:p w14:paraId="7E48E0C7" w14:textId="77777777" w:rsidR="00FA0412" w:rsidRDefault="00743EED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zh-CN"/>
        </w:rPr>
      </w:pPr>
      <w:r>
        <w:rPr>
          <w:rFonts w:ascii="Times New Roman" w:eastAsia="Times New Roman" w:hAnsi="Times New Roman" w:hint="eastAsia"/>
          <w:b/>
          <w:bCs/>
          <w:sz w:val="24"/>
          <w:szCs w:val="24"/>
          <w:lang w:val="zh-CN"/>
        </w:rPr>
        <w:t>东营市垦利惠能热电有限公司中水回用零排放项目</w:t>
      </w:r>
    </w:p>
    <w:p w14:paraId="4CE41B31" w14:textId="77777777" w:rsidR="00FA0412" w:rsidRDefault="00743EED">
      <w:pPr>
        <w:spacing w:line="360" w:lineRule="auto"/>
        <w:ind w:firstLineChars="1100" w:firstLine="2650"/>
        <w:jc w:val="left"/>
        <w:rPr>
          <w:rFonts w:ascii="Times New Roman" w:eastAsia="Times New Roman" w:hAnsi="Times New Roman"/>
          <w:b/>
          <w:bCs/>
          <w:sz w:val="24"/>
          <w:szCs w:val="24"/>
          <w:lang w:val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zh-CN"/>
        </w:rPr>
        <w:t>建设工程竣工环境保护验收意见</w:t>
      </w:r>
    </w:p>
    <w:p w14:paraId="65F40C07" w14:textId="77777777" w:rsidR="00FA0412" w:rsidRDefault="00743EED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202</w:t>
      </w:r>
      <w:r>
        <w:rPr>
          <w:rFonts w:hAnsi="宋体" w:hint="eastAsia"/>
          <w:sz w:val="24"/>
        </w:rPr>
        <w:t>1</w:t>
      </w:r>
      <w:r>
        <w:rPr>
          <w:rFonts w:hAnsi="宋体"/>
          <w:sz w:val="24"/>
        </w:rPr>
        <w:t>年</w:t>
      </w:r>
      <w:r>
        <w:rPr>
          <w:rFonts w:hAnsi="宋体" w:hint="eastAsia"/>
          <w:sz w:val="24"/>
        </w:rPr>
        <w:t>5</w:t>
      </w:r>
      <w:r>
        <w:rPr>
          <w:rFonts w:hAnsi="宋体"/>
          <w:sz w:val="24"/>
        </w:rPr>
        <w:t>月</w:t>
      </w:r>
      <w:r w:rsidR="00685F14">
        <w:rPr>
          <w:rFonts w:hAnsi="宋体" w:hint="eastAsia"/>
          <w:sz w:val="24"/>
        </w:rPr>
        <w:t>2</w:t>
      </w:r>
      <w:r w:rsidR="00685F14">
        <w:rPr>
          <w:rFonts w:hAnsi="宋体"/>
          <w:sz w:val="24"/>
        </w:rPr>
        <w:t>6</w:t>
      </w:r>
      <w:r w:rsidR="00685F14">
        <w:rPr>
          <w:rFonts w:hAnsi="宋体" w:hint="eastAsia"/>
          <w:sz w:val="24"/>
        </w:rPr>
        <w:t>日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  <w:lang w:val="zh-CN"/>
        </w:rPr>
        <w:t>东营市垦利惠能热电有限公司</w:t>
      </w:r>
      <w:r>
        <w:rPr>
          <w:rFonts w:hAnsi="宋体"/>
          <w:sz w:val="24"/>
        </w:rPr>
        <w:t>组织相关人员成立验收小组（名单见后）验收小组在现场踏勘基础上，根据《</w:t>
      </w:r>
      <w:r>
        <w:rPr>
          <w:rFonts w:hAnsi="宋体" w:hint="eastAsia"/>
          <w:sz w:val="24"/>
          <w:lang w:val="zh-CN"/>
        </w:rPr>
        <w:t>东营市垦利惠能热电有限公司中水回用零排放项目</w:t>
      </w:r>
      <w:r>
        <w:rPr>
          <w:rFonts w:hAnsi="宋体"/>
          <w:sz w:val="24"/>
        </w:rPr>
        <w:t>竣工环境保护验收监测报告表》并对照《建设项目竣工环境保护验收暂行办法》，严格依照国家法律法规、建设项目竣工环境保护验收技术规范、本项目环境影响评价报告表和</w:t>
      </w:r>
      <w:proofErr w:type="gramStart"/>
      <w:r>
        <w:rPr>
          <w:rFonts w:hAnsi="宋体"/>
          <w:sz w:val="24"/>
        </w:rPr>
        <w:t>审批部</w:t>
      </w:r>
      <w:proofErr w:type="gramEnd"/>
      <w:r>
        <w:rPr>
          <w:rFonts w:hAnsi="宋体"/>
          <w:sz w:val="24"/>
        </w:rPr>
        <w:t>门环评审</w:t>
      </w:r>
      <w:proofErr w:type="gramStart"/>
      <w:r>
        <w:rPr>
          <w:rFonts w:hAnsi="宋体"/>
          <w:sz w:val="24"/>
        </w:rPr>
        <w:t>批意见</w:t>
      </w:r>
      <w:proofErr w:type="gramEnd"/>
      <w:r>
        <w:rPr>
          <w:rFonts w:hAnsi="宋体"/>
          <w:sz w:val="24"/>
        </w:rPr>
        <w:t>等要求对项目进行验收，形成以下验收意见：</w:t>
      </w:r>
    </w:p>
    <w:p w14:paraId="5E7E5197" w14:textId="77777777" w:rsidR="00FA0412" w:rsidRDefault="00743EE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Ansi="宋体"/>
          <w:sz w:val="24"/>
        </w:rPr>
        <w:t>工程建设基本情况</w:t>
      </w:r>
    </w:p>
    <w:p w14:paraId="2F0D0106" w14:textId="77777777" w:rsidR="00FA0412" w:rsidRPr="00DE5D3A" w:rsidRDefault="00DE5D3A" w:rsidP="00DE5D3A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（一）</w:t>
      </w:r>
      <w:r w:rsidR="00743EED">
        <w:rPr>
          <w:rFonts w:hAnsi="宋体"/>
          <w:sz w:val="24"/>
        </w:rPr>
        <w:t>建设地点、规模、主要建设内容</w:t>
      </w:r>
    </w:p>
    <w:p w14:paraId="20ECFDA0" w14:textId="77777777" w:rsidR="00FA0412" w:rsidRDefault="00743EED" w:rsidP="00DE5D3A">
      <w:pPr>
        <w:spacing w:line="360" w:lineRule="auto"/>
        <w:ind w:firstLineChars="200" w:firstLine="480"/>
        <w:rPr>
          <w:color w:val="000000"/>
        </w:rPr>
      </w:pPr>
      <w:r w:rsidRPr="00DE5D3A">
        <w:rPr>
          <w:rFonts w:hAnsi="宋体"/>
          <w:sz w:val="24"/>
        </w:rPr>
        <w:t>本</w:t>
      </w:r>
      <w:r w:rsidRPr="00DE5D3A">
        <w:rPr>
          <w:rFonts w:hAnsi="宋体"/>
          <w:sz w:val="24"/>
        </w:rPr>
        <w:t>项目位于本项目位于东营市垦利区绿洲路</w:t>
      </w:r>
      <w:r w:rsidRPr="00DE5D3A">
        <w:rPr>
          <w:rFonts w:hAnsi="宋体"/>
          <w:sz w:val="24"/>
        </w:rPr>
        <w:t>99</w:t>
      </w:r>
      <w:r w:rsidRPr="00DE5D3A">
        <w:rPr>
          <w:rFonts w:hAnsi="宋体"/>
          <w:sz w:val="24"/>
        </w:rPr>
        <w:t>号，东营市垦利惠能热电有限公司院内西南角（</w:t>
      </w:r>
      <w:r w:rsidRPr="00DE5D3A">
        <w:rPr>
          <w:rFonts w:hAnsi="宋体"/>
          <w:sz w:val="24"/>
        </w:rPr>
        <w:t>37.558221</w:t>
      </w:r>
      <w:r w:rsidRPr="00DE5D3A">
        <w:rPr>
          <w:rFonts w:hAnsi="宋体"/>
          <w:sz w:val="24"/>
        </w:rPr>
        <w:t>°</w:t>
      </w:r>
      <w:r w:rsidRPr="00DE5D3A">
        <w:rPr>
          <w:rFonts w:hAnsi="宋体"/>
          <w:sz w:val="24"/>
        </w:rPr>
        <w:t>N  118.547098</w:t>
      </w:r>
      <w:r w:rsidRPr="00DE5D3A">
        <w:rPr>
          <w:rFonts w:hAnsi="宋体"/>
          <w:sz w:val="24"/>
        </w:rPr>
        <w:t>°</w:t>
      </w:r>
      <w:r w:rsidRPr="00DE5D3A">
        <w:rPr>
          <w:rFonts w:hAnsi="宋体"/>
          <w:sz w:val="24"/>
        </w:rPr>
        <w:t>E</w:t>
      </w:r>
      <w:r w:rsidRPr="00DE5D3A">
        <w:rPr>
          <w:rFonts w:hAnsi="宋体"/>
          <w:sz w:val="24"/>
        </w:rPr>
        <w:t>）</w:t>
      </w:r>
      <w:r w:rsidRPr="00DE5D3A">
        <w:rPr>
          <w:rFonts w:hAnsi="宋体" w:hint="eastAsia"/>
          <w:sz w:val="24"/>
        </w:rPr>
        <w:t>。</w:t>
      </w:r>
      <w:r w:rsidRPr="00DE5D3A">
        <w:rPr>
          <w:rFonts w:hAnsi="宋体" w:hint="eastAsia"/>
          <w:sz w:val="24"/>
        </w:rPr>
        <w:t>公司西邻黄河路，东侧为绿洲路，南侧、北侧均为空地</w:t>
      </w:r>
      <w:r>
        <w:rPr>
          <w:rFonts w:hint="eastAsia"/>
          <w:kern w:val="0"/>
          <w:sz w:val="24"/>
        </w:rPr>
        <w:t>。</w:t>
      </w:r>
      <w:r>
        <w:rPr>
          <w:rFonts w:hint="eastAsia"/>
        </w:rPr>
        <w:t>本项目建成后，中水回用处理能力为</w:t>
      </w:r>
      <w:r>
        <w:rPr>
          <w:rFonts w:hint="eastAsia"/>
        </w:rPr>
        <w:t>3</w:t>
      </w:r>
      <w:r>
        <w:t>660t/d</w:t>
      </w:r>
      <w:r>
        <w:rPr>
          <w:rFonts w:hint="eastAsia"/>
        </w:rPr>
        <w:t>，年</w:t>
      </w:r>
      <w:r>
        <w:rPr>
          <w:rFonts w:ascii="Times New Roman" w:eastAsia="宋体" w:hAnsi="Times New Roman" w:cs="Times New Roman" w:hint="eastAsia"/>
          <w:color w:val="000000"/>
          <w:sz w:val="24"/>
        </w:rPr>
        <w:t>节约新鲜水</w:t>
      </w:r>
      <w:r>
        <w:rPr>
          <w:rFonts w:ascii="Times New Roman" w:eastAsia="宋体" w:hAnsi="Times New Roman" w:cs="Times New Roman" w:hint="eastAsia"/>
          <w:color w:val="000000"/>
          <w:sz w:val="24"/>
        </w:rPr>
        <w:t>用量约</w:t>
      </w:r>
      <w:r>
        <w:rPr>
          <w:rFonts w:ascii="Times New Roman" w:eastAsia="宋体" w:hAnsi="Times New Roman" w:cs="Times New Roman" w:hint="eastAsia"/>
          <w:color w:val="000000"/>
          <w:sz w:val="24"/>
        </w:rPr>
        <w:t>1</w:t>
      </w:r>
      <w:r>
        <w:rPr>
          <w:rFonts w:ascii="Times New Roman" w:eastAsia="宋体" w:hAnsi="Times New Roman" w:cs="Times New Roman"/>
          <w:color w:val="000000"/>
          <w:sz w:val="24"/>
        </w:rPr>
        <w:t>10</w:t>
      </w:r>
      <w:r>
        <w:rPr>
          <w:rFonts w:ascii="Times New Roman" w:eastAsia="宋体" w:hAnsi="Times New Roman" w:cs="Times New Roman" w:hint="eastAsia"/>
          <w:color w:val="000000"/>
          <w:sz w:val="24"/>
        </w:rPr>
        <w:t>万</w:t>
      </w:r>
      <w:r>
        <w:rPr>
          <w:rFonts w:ascii="Times New Roman" w:eastAsia="宋体" w:hAnsi="Times New Roman" w:cs="Times New Roman" w:hint="eastAsia"/>
          <w:color w:val="000000"/>
          <w:sz w:val="24"/>
        </w:rPr>
        <w:t>m</w:t>
      </w:r>
      <w:r>
        <w:rPr>
          <w:rFonts w:ascii="Times New Roman" w:eastAsia="宋体" w:hAnsi="Times New Roman" w:cs="Times New Roman" w:hint="eastAsia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</w:rPr>
        <w:t>。</w:t>
      </w:r>
    </w:p>
    <w:p w14:paraId="3ECAB0AD" w14:textId="77777777" w:rsidR="00FA0412" w:rsidRDefault="00743EED">
      <w:pPr>
        <w:pStyle w:val="ab"/>
        <w:ind w:firstLine="480"/>
        <w:rPr>
          <w:color w:val="000000"/>
        </w:rPr>
      </w:pPr>
      <w:r>
        <w:rPr>
          <w:color w:val="000000"/>
        </w:rPr>
        <w:t>按主体工程、辅助工程、公用工程、环保工程分类如下表所示：</w:t>
      </w:r>
    </w:p>
    <w:p w14:paraId="00E8B69E" w14:textId="77777777" w:rsidR="00FA0412" w:rsidRDefault="00743EED">
      <w:pPr>
        <w:pStyle w:val="a9"/>
        <w:spacing w:line="360" w:lineRule="auto"/>
        <w:ind w:left="1200" w:firstLineChars="0" w:firstLine="0"/>
        <w:jc w:val="center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>表</w:t>
      </w:r>
      <w:r>
        <w:rPr>
          <w:b/>
          <w:szCs w:val="21"/>
        </w:rPr>
        <w:t xml:space="preserve">1  </w:t>
      </w:r>
      <w:r>
        <w:rPr>
          <w:rFonts w:hAnsi="宋体"/>
          <w:b/>
          <w:szCs w:val="21"/>
        </w:rPr>
        <w:t>项目工程组成一览表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8"/>
        <w:gridCol w:w="1175"/>
        <w:gridCol w:w="2576"/>
        <w:gridCol w:w="2569"/>
        <w:gridCol w:w="1111"/>
      </w:tblGrid>
      <w:tr w:rsidR="00FA0412" w14:paraId="013F5E82" w14:textId="77777777">
        <w:trPr>
          <w:cantSplit/>
          <w:jc w:val="center"/>
        </w:trPr>
        <w:tc>
          <w:tcPr>
            <w:tcW w:w="638" w:type="pct"/>
            <w:vAlign w:val="center"/>
          </w:tcPr>
          <w:p w14:paraId="7AB26FBC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工程组成</w:t>
            </w:r>
          </w:p>
        </w:tc>
        <w:tc>
          <w:tcPr>
            <w:tcW w:w="689" w:type="pct"/>
            <w:vAlign w:val="center"/>
          </w:tcPr>
          <w:p w14:paraId="2A75832C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项目组成</w:t>
            </w:r>
          </w:p>
        </w:tc>
        <w:tc>
          <w:tcPr>
            <w:tcW w:w="1511" w:type="pct"/>
            <w:vAlign w:val="center"/>
          </w:tcPr>
          <w:p w14:paraId="7936085F" w14:textId="77777777" w:rsidR="00FA0412" w:rsidRDefault="00743EE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/>
              </w:rPr>
              <w:t>原环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/>
              </w:rPr>
              <w:t>评建设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/>
              </w:rPr>
              <w:t>内容及规模</w:t>
            </w:r>
          </w:p>
        </w:tc>
        <w:tc>
          <w:tcPr>
            <w:tcW w:w="1507" w:type="pct"/>
            <w:vAlign w:val="center"/>
          </w:tcPr>
          <w:p w14:paraId="28EC191A" w14:textId="77777777" w:rsidR="00FA0412" w:rsidRDefault="00743EE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/>
              </w:rPr>
              <w:t>实际建设内容及规模</w:t>
            </w:r>
          </w:p>
        </w:tc>
        <w:tc>
          <w:tcPr>
            <w:tcW w:w="652" w:type="pct"/>
            <w:vAlign w:val="center"/>
          </w:tcPr>
          <w:p w14:paraId="048BC634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备注</w:t>
            </w:r>
          </w:p>
        </w:tc>
      </w:tr>
      <w:tr w:rsidR="00FA0412" w14:paraId="11D06028" w14:textId="77777777">
        <w:trPr>
          <w:cantSplit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</w:tcBorders>
            <w:vAlign w:val="center"/>
          </w:tcPr>
          <w:p w14:paraId="77195BBE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主体工程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22E182E9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预处理单元</w:t>
            </w:r>
          </w:p>
        </w:tc>
        <w:tc>
          <w:tcPr>
            <w:tcW w:w="1511" w:type="pct"/>
            <w:tcBorders>
              <w:top w:val="single" w:sz="4" w:space="0" w:color="auto"/>
            </w:tcBorders>
            <w:vAlign w:val="center"/>
          </w:tcPr>
          <w:p w14:paraId="4067DF77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废水收集池、</w:t>
            </w:r>
            <w:proofErr w:type="gramStart"/>
            <w:r>
              <w:rPr>
                <w:snapToGrid w:val="0"/>
                <w:szCs w:val="21"/>
              </w:rPr>
              <w:t>悬渣澄清</w:t>
            </w:r>
            <w:proofErr w:type="gramEnd"/>
            <w:r>
              <w:rPr>
                <w:snapToGrid w:val="0"/>
                <w:szCs w:val="21"/>
              </w:rPr>
              <w:t>池、高速过滤器、超滤装置、离子交换器等。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14:paraId="6BF4A242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废水收集池、</w:t>
            </w:r>
            <w:proofErr w:type="gramStart"/>
            <w:r>
              <w:rPr>
                <w:snapToGrid w:val="0"/>
                <w:szCs w:val="21"/>
              </w:rPr>
              <w:t>悬渣澄清</w:t>
            </w:r>
            <w:proofErr w:type="gramEnd"/>
            <w:r>
              <w:rPr>
                <w:snapToGrid w:val="0"/>
                <w:szCs w:val="21"/>
              </w:rPr>
              <w:t>池、高速过滤器、超滤装置、离子交换器等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2301A980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046A06D0" w14:textId="77777777">
        <w:trPr>
          <w:cantSplit/>
          <w:jc w:val="center"/>
        </w:trPr>
        <w:tc>
          <w:tcPr>
            <w:tcW w:w="638" w:type="pct"/>
            <w:vMerge/>
            <w:vAlign w:val="center"/>
          </w:tcPr>
          <w:p w14:paraId="02058B0B" w14:textId="77777777" w:rsidR="00FA0412" w:rsidRDefault="00FA0412">
            <w:pPr>
              <w:pStyle w:val="aa"/>
              <w:rPr>
                <w:snapToGrid w:val="0"/>
                <w:szCs w:val="21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29B3D46D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一级</w:t>
            </w:r>
            <w:r>
              <w:rPr>
                <w:snapToGrid w:val="0"/>
                <w:szCs w:val="21"/>
              </w:rPr>
              <w:t>RO</w:t>
            </w:r>
            <w:r>
              <w:rPr>
                <w:snapToGrid w:val="0"/>
                <w:szCs w:val="21"/>
              </w:rPr>
              <w:t>单元</w:t>
            </w:r>
          </w:p>
        </w:tc>
        <w:tc>
          <w:tcPr>
            <w:tcW w:w="1511" w:type="pct"/>
            <w:tcBorders>
              <w:top w:val="single" w:sz="4" w:space="0" w:color="auto"/>
            </w:tcBorders>
            <w:vAlign w:val="center"/>
          </w:tcPr>
          <w:p w14:paraId="72E9329D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一级</w:t>
            </w:r>
            <w:r>
              <w:rPr>
                <w:snapToGrid w:val="0"/>
                <w:szCs w:val="21"/>
              </w:rPr>
              <w:t>RO</w:t>
            </w:r>
            <w:r>
              <w:rPr>
                <w:snapToGrid w:val="0"/>
                <w:szCs w:val="21"/>
              </w:rPr>
              <w:t>系统、回用水泵等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14:paraId="774799C8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一级</w:t>
            </w:r>
            <w:r>
              <w:rPr>
                <w:snapToGrid w:val="0"/>
                <w:szCs w:val="21"/>
              </w:rPr>
              <w:t>RO</w:t>
            </w:r>
            <w:r>
              <w:rPr>
                <w:snapToGrid w:val="0"/>
                <w:szCs w:val="21"/>
              </w:rPr>
              <w:t>系统、回用水泵等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10E38B77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3BCD2745" w14:textId="77777777">
        <w:trPr>
          <w:cantSplit/>
          <w:jc w:val="center"/>
        </w:trPr>
        <w:tc>
          <w:tcPr>
            <w:tcW w:w="638" w:type="pct"/>
            <w:vMerge/>
            <w:vAlign w:val="center"/>
          </w:tcPr>
          <w:p w14:paraId="7293FDFA" w14:textId="77777777" w:rsidR="00FA0412" w:rsidRDefault="00FA0412">
            <w:pPr>
              <w:pStyle w:val="aa"/>
              <w:rPr>
                <w:snapToGrid w:val="0"/>
                <w:szCs w:val="21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3283444D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浓水</w:t>
            </w:r>
            <w:r>
              <w:rPr>
                <w:snapToGrid w:val="0"/>
                <w:szCs w:val="21"/>
              </w:rPr>
              <w:t>RO</w:t>
            </w:r>
            <w:r>
              <w:rPr>
                <w:snapToGrid w:val="0"/>
                <w:szCs w:val="21"/>
              </w:rPr>
              <w:t>单元</w:t>
            </w:r>
          </w:p>
        </w:tc>
        <w:tc>
          <w:tcPr>
            <w:tcW w:w="1511" w:type="pct"/>
            <w:tcBorders>
              <w:top w:val="single" w:sz="4" w:space="0" w:color="auto"/>
            </w:tcBorders>
            <w:vAlign w:val="center"/>
          </w:tcPr>
          <w:p w14:paraId="70E007C6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浓水</w:t>
            </w:r>
            <w:r>
              <w:rPr>
                <w:snapToGrid w:val="0"/>
                <w:szCs w:val="21"/>
              </w:rPr>
              <w:t>RO</w:t>
            </w:r>
            <w:r>
              <w:rPr>
                <w:snapToGrid w:val="0"/>
                <w:szCs w:val="21"/>
              </w:rPr>
              <w:t>系统、回用水泵等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14:paraId="5D9733E9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浓水</w:t>
            </w:r>
            <w:r>
              <w:rPr>
                <w:snapToGrid w:val="0"/>
                <w:szCs w:val="21"/>
              </w:rPr>
              <w:t>RO</w:t>
            </w:r>
            <w:r>
              <w:rPr>
                <w:snapToGrid w:val="0"/>
                <w:szCs w:val="21"/>
              </w:rPr>
              <w:t>系统、回用水泵等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0CAF4A96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11E092F8" w14:textId="77777777">
        <w:trPr>
          <w:cantSplit/>
          <w:jc w:val="center"/>
        </w:trPr>
        <w:tc>
          <w:tcPr>
            <w:tcW w:w="638" w:type="pct"/>
            <w:vMerge/>
            <w:vAlign w:val="center"/>
          </w:tcPr>
          <w:p w14:paraId="4868668C" w14:textId="77777777" w:rsidR="00FA0412" w:rsidRDefault="00FA0412">
            <w:pPr>
              <w:pStyle w:val="aa"/>
              <w:rPr>
                <w:snapToGrid w:val="0"/>
                <w:szCs w:val="21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6832D296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污泥处理单元</w:t>
            </w:r>
          </w:p>
        </w:tc>
        <w:tc>
          <w:tcPr>
            <w:tcW w:w="1511" w:type="pct"/>
            <w:tcBorders>
              <w:top w:val="single" w:sz="4" w:space="0" w:color="auto"/>
            </w:tcBorders>
            <w:vAlign w:val="center"/>
          </w:tcPr>
          <w:p w14:paraId="00C5BA82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污泥给料泵、滤布冲洗水泵、污泥脱水机等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14:paraId="3C90C3ED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污泥给料泵、滤布冲洗水泵、污泥脱水机等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18B92581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1C8D96C5" w14:textId="77777777">
        <w:trPr>
          <w:cantSplit/>
          <w:jc w:val="center"/>
        </w:trPr>
        <w:tc>
          <w:tcPr>
            <w:tcW w:w="638" w:type="pct"/>
            <w:vMerge/>
            <w:vAlign w:val="center"/>
          </w:tcPr>
          <w:p w14:paraId="6F72E40C" w14:textId="77777777" w:rsidR="00FA0412" w:rsidRDefault="00FA0412">
            <w:pPr>
              <w:pStyle w:val="aa"/>
              <w:rPr>
                <w:snapToGrid w:val="0"/>
                <w:szCs w:val="21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25A383CB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加</w:t>
            </w:r>
            <w:proofErr w:type="gramStart"/>
            <w:r>
              <w:rPr>
                <w:snapToGrid w:val="0"/>
                <w:szCs w:val="21"/>
              </w:rPr>
              <w:t>药单元</w:t>
            </w:r>
            <w:proofErr w:type="gramEnd"/>
          </w:p>
        </w:tc>
        <w:tc>
          <w:tcPr>
            <w:tcW w:w="1511" w:type="pct"/>
            <w:tcBorders>
              <w:top w:val="single" w:sz="4" w:space="0" w:color="auto"/>
            </w:tcBorders>
            <w:vAlign w:val="center"/>
          </w:tcPr>
          <w:p w14:paraId="0D03B7B9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卸凝聚剂泵、凝聚剂搅拌器、原水杀菌剂计量泵、超滤杀菌剂计量泵、及各类药剂配置系统等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14:paraId="62ABF7CA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卸凝聚剂泵、凝聚剂搅拌器、原水杀菌剂计量泵、超滤杀菌剂计量泵、及各类药剂配置系统等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7A4DFA70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4117C06C" w14:textId="77777777">
        <w:trPr>
          <w:cantSplit/>
          <w:jc w:val="center"/>
        </w:trPr>
        <w:tc>
          <w:tcPr>
            <w:tcW w:w="638" w:type="pct"/>
            <w:vMerge/>
            <w:vAlign w:val="center"/>
          </w:tcPr>
          <w:p w14:paraId="7EDDD59C" w14:textId="77777777" w:rsidR="00FA0412" w:rsidRDefault="00FA0412">
            <w:pPr>
              <w:pStyle w:val="aa"/>
              <w:rPr>
                <w:snapToGrid w:val="0"/>
                <w:szCs w:val="21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1F58BDE8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蒸发结晶单元</w:t>
            </w:r>
          </w:p>
        </w:tc>
        <w:tc>
          <w:tcPr>
            <w:tcW w:w="1511" w:type="pct"/>
            <w:tcBorders>
              <w:top w:val="single" w:sz="4" w:space="0" w:color="auto"/>
            </w:tcBorders>
            <w:vAlign w:val="center"/>
          </w:tcPr>
          <w:p w14:paraId="2A7A270D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蒸发结晶进料泵、结晶系统、打包系统等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14:paraId="2B38F949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蒸发结晶进料泵、结晶系统、打包系统等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43C03E03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5F289B56" w14:textId="77777777">
        <w:trPr>
          <w:cantSplit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</w:tcBorders>
            <w:vAlign w:val="center"/>
          </w:tcPr>
          <w:p w14:paraId="473DC613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辅助工程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27E4B4C0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辅助设备</w:t>
            </w:r>
          </w:p>
        </w:tc>
        <w:tc>
          <w:tcPr>
            <w:tcW w:w="1511" w:type="pct"/>
            <w:tcBorders>
              <w:top w:val="single" w:sz="4" w:space="0" w:color="auto"/>
            </w:tcBorders>
            <w:vAlign w:val="center"/>
          </w:tcPr>
          <w:p w14:paraId="0BF6E82B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废水泵、电动葫芦、清洗水箱等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14:paraId="1A3578DD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废水泵、电动葫芦、清洗水箱等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106A7574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635B6767" w14:textId="77777777">
        <w:trPr>
          <w:cantSplit/>
          <w:jc w:val="center"/>
        </w:trPr>
        <w:tc>
          <w:tcPr>
            <w:tcW w:w="638" w:type="pct"/>
            <w:vMerge/>
            <w:vAlign w:val="center"/>
          </w:tcPr>
          <w:p w14:paraId="33DC14EC" w14:textId="77777777" w:rsidR="00FA0412" w:rsidRDefault="00FA0412">
            <w:pPr>
              <w:pStyle w:val="aa"/>
              <w:rPr>
                <w:snapToGrid w:val="0"/>
                <w:szCs w:val="21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1D1B840B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控制室</w:t>
            </w:r>
          </w:p>
        </w:tc>
        <w:tc>
          <w:tcPr>
            <w:tcW w:w="1511" w:type="pct"/>
            <w:tcBorders>
              <w:top w:val="single" w:sz="4" w:space="0" w:color="auto"/>
            </w:tcBorders>
            <w:vAlign w:val="center"/>
          </w:tcPr>
          <w:p w14:paraId="43A55976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1</w:t>
            </w:r>
            <w:r>
              <w:rPr>
                <w:snapToGrid w:val="0"/>
                <w:szCs w:val="21"/>
              </w:rPr>
              <w:t>座，</w:t>
            </w:r>
            <w:r>
              <w:rPr>
                <w:snapToGrid w:val="0"/>
                <w:szCs w:val="21"/>
              </w:rPr>
              <w:t>1</w:t>
            </w:r>
            <w:r>
              <w:rPr>
                <w:snapToGrid w:val="0"/>
                <w:szCs w:val="21"/>
              </w:rPr>
              <w:t>层，占地面积</w:t>
            </w:r>
            <w:r>
              <w:rPr>
                <w:snapToGrid w:val="0"/>
                <w:szCs w:val="21"/>
              </w:rPr>
              <w:t>160m</w:t>
            </w:r>
            <w:r>
              <w:rPr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14:paraId="3965D7F0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1</w:t>
            </w:r>
            <w:r>
              <w:rPr>
                <w:snapToGrid w:val="0"/>
                <w:szCs w:val="21"/>
              </w:rPr>
              <w:t>座，</w:t>
            </w:r>
            <w:r>
              <w:rPr>
                <w:snapToGrid w:val="0"/>
                <w:szCs w:val="21"/>
              </w:rPr>
              <w:t>1</w:t>
            </w:r>
            <w:r>
              <w:rPr>
                <w:snapToGrid w:val="0"/>
                <w:szCs w:val="21"/>
              </w:rPr>
              <w:t>层，占地面积</w:t>
            </w:r>
            <w:r>
              <w:rPr>
                <w:snapToGrid w:val="0"/>
                <w:szCs w:val="21"/>
              </w:rPr>
              <w:t>160m</w:t>
            </w:r>
            <w:r>
              <w:rPr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1319E463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2527CCE7" w14:textId="77777777">
        <w:trPr>
          <w:cantSplit/>
          <w:jc w:val="center"/>
        </w:trPr>
        <w:tc>
          <w:tcPr>
            <w:tcW w:w="638" w:type="pct"/>
            <w:vAlign w:val="center"/>
          </w:tcPr>
          <w:p w14:paraId="449AD886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公用工程</w:t>
            </w:r>
          </w:p>
        </w:tc>
        <w:tc>
          <w:tcPr>
            <w:tcW w:w="689" w:type="pct"/>
            <w:vAlign w:val="center"/>
          </w:tcPr>
          <w:p w14:paraId="03715B0F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供配电系统</w:t>
            </w:r>
          </w:p>
        </w:tc>
        <w:tc>
          <w:tcPr>
            <w:tcW w:w="1511" w:type="pct"/>
            <w:vAlign w:val="center"/>
          </w:tcPr>
          <w:p w14:paraId="2EBF01C7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供电由公司现有供电系统提供，年新增用电量为</w:t>
            </w:r>
            <w:r>
              <w:rPr>
                <w:snapToGrid w:val="0"/>
                <w:szCs w:val="21"/>
              </w:rPr>
              <w:t>67.85</w:t>
            </w:r>
            <w:r>
              <w:rPr>
                <w:snapToGrid w:val="0"/>
                <w:szCs w:val="21"/>
              </w:rPr>
              <w:t>万</w:t>
            </w:r>
            <w:r>
              <w:rPr>
                <w:snapToGrid w:val="0"/>
                <w:szCs w:val="21"/>
              </w:rPr>
              <w:t>kWh</w:t>
            </w:r>
          </w:p>
        </w:tc>
        <w:tc>
          <w:tcPr>
            <w:tcW w:w="1507" w:type="pct"/>
            <w:vAlign w:val="center"/>
          </w:tcPr>
          <w:p w14:paraId="70B3F307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供电由公司现有供电系统提供，年新增用电量为</w:t>
            </w:r>
            <w:r>
              <w:rPr>
                <w:snapToGrid w:val="0"/>
                <w:szCs w:val="21"/>
              </w:rPr>
              <w:t>67.85</w:t>
            </w:r>
            <w:r>
              <w:rPr>
                <w:snapToGrid w:val="0"/>
                <w:szCs w:val="21"/>
              </w:rPr>
              <w:t>万</w:t>
            </w:r>
            <w:r>
              <w:rPr>
                <w:snapToGrid w:val="0"/>
                <w:szCs w:val="21"/>
              </w:rPr>
              <w:t>kWh</w:t>
            </w:r>
          </w:p>
        </w:tc>
        <w:tc>
          <w:tcPr>
            <w:tcW w:w="652" w:type="pct"/>
            <w:vAlign w:val="center"/>
          </w:tcPr>
          <w:p w14:paraId="427F352D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2844211D" w14:textId="77777777">
        <w:trPr>
          <w:cantSplit/>
          <w:jc w:val="center"/>
        </w:trPr>
        <w:tc>
          <w:tcPr>
            <w:tcW w:w="638" w:type="pct"/>
            <w:vMerge w:val="restart"/>
            <w:vAlign w:val="center"/>
          </w:tcPr>
          <w:p w14:paraId="02EC6D53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环保工程</w:t>
            </w:r>
          </w:p>
        </w:tc>
        <w:tc>
          <w:tcPr>
            <w:tcW w:w="689" w:type="pct"/>
            <w:vAlign w:val="center"/>
          </w:tcPr>
          <w:p w14:paraId="432AAD7E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噪声</w:t>
            </w:r>
          </w:p>
        </w:tc>
        <w:tc>
          <w:tcPr>
            <w:tcW w:w="1511" w:type="pct"/>
            <w:vAlign w:val="center"/>
          </w:tcPr>
          <w:p w14:paraId="574E9849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选用低噪声设备，设备布置合理；采取有效的隔振、隔声措施</w:t>
            </w:r>
          </w:p>
        </w:tc>
        <w:tc>
          <w:tcPr>
            <w:tcW w:w="1507" w:type="pct"/>
            <w:vAlign w:val="center"/>
          </w:tcPr>
          <w:p w14:paraId="7D350D5F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选用低噪声设备，设备布置合理；采取有效的隔振、隔声措施</w:t>
            </w:r>
          </w:p>
        </w:tc>
        <w:tc>
          <w:tcPr>
            <w:tcW w:w="652" w:type="pct"/>
            <w:vAlign w:val="center"/>
          </w:tcPr>
          <w:p w14:paraId="774EE214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  <w:tr w:rsidR="00FA0412" w14:paraId="20A04FED" w14:textId="77777777">
        <w:trPr>
          <w:cantSplit/>
          <w:jc w:val="center"/>
        </w:trPr>
        <w:tc>
          <w:tcPr>
            <w:tcW w:w="638" w:type="pct"/>
            <w:vMerge/>
            <w:vAlign w:val="center"/>
          </w:tcPr>
          <w:p w14:paraId="58B71526" w14:textId="77777777" w:rsidR="00FA0412" w:rsidRDefault="00FA0412">
            <w:pPr>
              <w:pStyle w:val="aa"/>
              <w:rPr>
                <w:snapToGrid w:val="0"/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02B334D1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固体废物</w:t>
            </w:r>
          </w:p>
        </w:tc>
        <w:tc>
          <w:tcPr>
            <w:tcW w:w="1511" w:type="pct"/>
            <w:vAlign w:val="center"/>
          </w:tcPr>
          <w:p w14:paraId="2FFDD985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一般固体废物污泥、废超滤膜、废反渗透膜交由环卫部门处理；废离子交换树脂属于危险废物，暂存于厂区中部的</w:t>
            </w:r>
            <w:proofErr w:type="gramStart"/>
            <w:r>
              <w:rPr>
                <w:snapToGrid w:val="0"/>
                <w:szCs w:val="21"/>
              </w:rPr>
              <w:t>危废间</w:t>
            </w:r>
            <w:proofErr w:type="gramEnd"/>
            <w:r>
              <w:rPr>
                <w:snapToGrid w:val="0"/>
                <w:szCs w:val="21"/>
              </w:rPr>
              <w:t>，</w:t>
            </w:r>
            <w:r>
              <w:t>委托有资质单位处理</w:t>
            </w:r>
          </w:p>
        </w:tc>
        <w:tc>
          <w:tcPr>
            <w:tcW w:w="1507" w:type="pct"/>
            <w:vAlign w:val="center"/>
          </w:tcPr>
          <w:p w14:paraId="388E8183" w14:textId="77777777" w:rsidR="00FA0412" w:rsidRDefault="00743EED">
            <w:pPr>
              <w:pStyle w:val="aa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一般固体废物污泥、废超滤膜、废反渗透膜交由环卫部门处理；废离子交换树脂属于危险废物，暂存于厂区中部的</w:t>
            </w:r>
            <w:proofErr w:type="gramStart"/>
            <w:r>
              <w:rPr>
                <w:snapToGrid w:val="0"/>
                <w:szCs w:val="21"/>
              </w:rPr>
              <w:t>危废间</w:t>
            </w:r>
            <w:proofErr w:type="gramEnd"/>
            <w:r>
              <w:rPr>
                <w:snapToGrid w:val="0"/>
                <w:szCs w:val="21"/>
              </w:rPr>
              <w:t>，</w:t>
            </w:r>
            <w:r>
              <w:t>委托有资质单位处理</w:t>
            </w:r>
          </w:p>
        </w:tc>
        <w:tc>
          <w:tcPr>
            <w:tcW w:w="652" w:type="pct"/>
            <w:vAlign w:val="center"/>
          </w:tcPr>
          <w:p w14:paraId="4E0B3FED" w14:textId="77777777" w:rsidR="00FA0412" w:rsidRDefault="00743E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与原环评一致</w:t>
            </w:r>
          </w:p>
        </w:tc>
      </w:tr>
    </w:tbl>
    <w:p w14:paraId="4126EEFF" w14:textId="77777777" w:rsidR="00FA0412" w:rsidRDefault="00FA0412">
      <w:pPr>
        <w:spacing w:line="360" w:lineRule="auto"/>
        <w:rPr>
          <w:b/>
          <w:szCs w:val="21"/>
        </w:rPr>
      </w:pPr>
    </w:p>
    <w:p w14:paraId="0DAB7373" w14:textId="77777777" w:rsidR="00FA0412" w:rsidRDefault="00743EED">
      <w:pPr>
        <w:pStyle w:val="a9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Ansi="宋体"/>
          <w:sz w:val="24"/>
        </w:rPr>
        <w:t>环保审批情况及建设过程</w:t>
      </w:r>
    </w:p>
    <w:p w14:paraId="0578A8D8" w14:textId="77777777" w:rsidR="00FA0412" w:rsidRDefault="00743EED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根据国家《建设项目环境保护管理条例》中的有关规定，</w:t>
      </w:r>
      <w:r>
        <w:rPr>
          <w:sz w:val="24"/>
        </w:rPr>
        <w:t>2020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Ansi="宋体"/>
          <w:sz w:val="24"/>
        </w:rPr>
        <w:t>月，</w:t>
      </w:r>
      <w:r>
        <w:rPr>
          <w:rFonts w:hint="eastAsia"/>
          <w:color w:val="000000"/>
          <w:sz w:val="24"/>
        </w:rPr>
        <w:t>山东格林泰克环保技术服务</w:t>
      </w:r>
      <w:r>
        <w:rPr>
          <w:color w:val="000000"/>
          <w:sz w:val="24"/>
        </w:rPr>
        <w:t>有限公司</w:t>
      </w:r>
      <w:r>
        <w:rPr>
          <w:rFonts w:hAnsi="宋体"/>
          <w:sz w:val="24"/>
        </w:rPr>
        <w:t>编制完成了《</w:t>
      </w:r>
      <w:r>
        <w:rPr>
          <w:rFonts w:hAnsi="宋体" w:hint="eastAsia"/>
          <w:sz w:val="24"/>
        </w:rPr>
        <w:t>东营市垦利惠能热电有限公司中水回用零排放项目</w:t>
      </w:r>
      <w:r>
        <w:rPr>
          <w:rFonts w:hAnsi="宋体"/>
          <w:sz w:val="24"/>
        </w:rPr>
        <w:t>环境影响报告表》，</w:t>
      </w:r>
      <w:r>
        <w:rPr>
          <w:rFonts w:ascii="Times New Roman" w:eastAsia="宋体" w:hAnsi="Times New Roman" w:cs="Times New Roman"/>
          <w:kern w:val="0"/>
          <w:sz w:val="24"/>
          <w:lang w:val="zh-CN"/>
        </w:rPr>
        <w:t>对该项目进行了批复，批复文号：</w:t>
      </w:r>
      <w:r>
        <w:rPr>
          <w:sz w:val="24"/>
        </w:rPr>
        <w:t>2020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Ansi="宋体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Ansi="宋体"/>
          <w:sz w:val="24"/>
        </w:rPr>
        <w:t>日得到</w:t>
      </w:r>
      <w:r>
        <w:rPr>
          <w:rFonts w:ascii="Times New Roman" w:eastAsia="宋体" w:hAnsi="Times New Roman" w:cs="Times New Roman"/>
          <w:kern w:val="0"/>
          <w:sz w:val="24"/>
        </w:rPr>
        <w:t>东营市垦利区行政审批服务局</w:t>
      </w:r>
      <w:r>
        <w:rPr>
          <w:rFonts w:hAnsi="宋体" w:hint="eastAsia"/>
          <w:sz w:val="24"/>
        </w:rPr>
        <w:t>批复（</w:t>
      </w:r>
      <w:r>
        <w:rPr>
          <w:rFonts w:ascii="Times New Roman" w:eastAsia="宋体" w:hAnsi="Times New Roman" w:cs="Times New Roman"/>
          <w:kern w:val="0"/>
          <w:sz w:val="24"/>
        </w:rPr>
        <w:t>垦审批环字</w:t>
      </w:r>
      <w:r>
        <w:rPr>
          <w:rFonts w:ascii="Times New Roman" w:eastAsia="宋体" w:hAnsi="Times New Roman" w:cs="Times New Roman"/>
          <w:kern w:val="0"/>
          <w:sz w:val="24"/>
        </w:rPr>
        <w:t>[2020]025</w:t>
      </w:r>
      <w:r>
        <w:rPr>
          <w:rFonts w:ascii="Times New Roman" w:eastAsia="宋体" w:hAnsi="Times New Roman" w:cs="Times New Roman"/>
          <w:kern w:val="0"/>
          <w:sz w:val="24"/>
        </w:rPr>
        <w:t>号</w:t>
      </w:r>
      <w:r>
        <w:rPr>
          <w:rFonts w:hAnsi="宋体" w:hint="eastAsia"/>
          <w:sz w:val="24"/>
        </w:rPr>
        <w:t>）</w:t>
      </w:r>
      <w:r>
        <w:rPr>
          <w:rFonts w:hAnsi="宋体"/>
          <w:sz w:val="24"/>
        </w:rPr>
        <w:t>，项目于</w:t>
      </w:r>
      <w:r>
        <w:rPr>
          <w:sz w:val="24"/>
        </w:rPr>
        <w:t>2020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Ansi="宋体"/>
          <w:sz w:val="24"/>
        </w:rPr>
        <w:t>月开工建设，于</w:t>
      </w:r>
      <w:r>
        <w:rPr>
          <w:sz w:val="24"/>
        </w:rPr>
        <w:t>2020</w:t>
      </w:r>
      <w:r>
        <w:rPr>
          <w:rFonts w:hAnsi="宋体"/>
          <w:sz w:val="24"/>
        </w:rPr>
        <w:t>年</w:t>
      </w:r>
      <w:r>
        <w:rPr>
          <w:rFonts w:hAnsi="宋体" w:hint="eastAsia"/>
          <w:sz w:val="24"/>
        </w:rPr>
        <w:t>1</w:t>
      </w:r>
      <w:r>
        <w:rPr>
          <w:rFonts w:hint="eastAsia"/>
          <w:sz w:val="24"/>
        </w:rPr>
        <w:t>1</w:t>
      </w:r>
      <w:r>
        <w:rPr>
          <w:rFonts w:hAnsi="宋体"/>
          <w:sz w:val="24"/>
        </w:rPr>
        <w:t>月建设完工投产。</w:t>
      </w:r>
    </w:p>
    <w:p w14:paraId="00F22470" w14:textId="77777777" w:rsidR="00FA0412" w:rsidRDefault="00743EED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根据国家有关法律法规的要求，</w:t>
      </w:r>
      <w:r>
        <w:rPr>
          <w:rFonts w:hint="eastAsia"/>
          <w:color w:val="000000"/>
          <w:sz w:val="24"/>
        </w:rPr>
        <w:t>2021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月受</w:t>
      </w:r>
      <w:r>
        <w:rPr>
          <w:rFonts w:hint="eastAsia"/>
          <w:color w:val="000000"/>
          <w:sz w:val="24"/>
        </w:rPr>
        <w:t>东营市垦利惠能热电有限公司</w:t>
      </w:r>
      <w:r>
        <w:rPr>
          <w:rFonts w:hint="eastAsia"/>
          <w:color w:val="000000"/>
          <w:sz w:val="24"/>
        </w:rPr>
        <w:t>委托，山东胜安检测技术有限公司承担该项目的竣工环保验收监测工作，东营智</w:t>
      </w:r>
      <w:proofErr w:type="gramStart"/>
      <w:r>
        <w:rPr>
          <w:rFonts w:hint="eastAsia"/>
          <w:color w:val="000000"/>
          <w:sz w:val="24"/>
        </w:rPr>
        <w:t>邦工程咨询</w:t>
      </w:r>
      <w:proofErr w:type="gramEnd"/>
      <w:r>
        <w:rPr>
          <w:rFonts w:hint="eastAsia"/>
          <w:color w:val="000000"/>
          <w:sz w:val="24"/>
        </w:rPr>
        <w:t>有限公司承担该项目的竣工环保验收监测报告的编制工作。</w:t>
      </w:r>
    </w:p>
    <w:p w14:paraId="646C987A" w14:textId="77777777" w:rsidR="00FA0412" w:rsidRDefault="00743EED">
      <w:pPr>
        <w:pStyle w:val="a9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Ansi="宋体"/>
          <w:sz w:val="24"/>
        </w:rPr>
        <w:t>投资情况</w:t>
      </w:r>
    </w:p>
    <w:p w14:paraId="35227E94" w14:textId="77777777" w:rsidR="00FA0412" w:rsidRDefault="00743EED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公司总投资</w:t>
      </w:r>
      <w:r>
        <w:rPr>
          <w:rFonts w:hint="eastAsia"/>
          <w:sz w:val="24"/>
        </w:rPr>
        <w:t>5800</w:t>
      </w:r>
      <w:r>
        <w:rPr>
          <w:rFonts w:hAnsi="宋体"/>
          <w:sz w:val="24"/>
        </w:rPr>
        <w:t>万元建设</w:t>
      </w:r>
      <w:r>
        <w:rPr>
          <w:rFonts w:hAnsi="宋体" w:hint="eastAsia"/>
          <w:sz w:val="24"/>
        </w:rPr>
        <w:t>中水回用零排放项目</w:t>
      </w:r>
      <w:r>
        <w:rPr>
          <w:rFonts w:hAnsi="宋体"/>
          <w:sz w:val="24"/>
        </w:rPr>
        <w:t>，其中环保投资</w:t>
      </w:r>
      <w:r>
        <w:rPr>
          <w:rFonts w:hint="eastAsia"/>
          <w:sz w:val="24"/>
        </w:rPr>
        <w:t>5800</w:t>
      </w:r>
      <w:r>
        <w:rPr>
          <w:rFonts w:hAnsi="宋体"/>
          <w:sz w:val="24"/>
        </w:rPr>
        <w:t>万元</w:t>
      </w:r>
      <w:r>
        <w:rPr>
          <w:rFonts w:hAnsi="宋体" w:hint="eastAsia"/>
          <w:sz w:val="24"/>
        </w:rPr>
        <w:t>，实际环保投资占总投资的</w:t>
      </w:r>
      <w:r>
        <w:rPr>
          <w:rFonts w:hAnsi="宋体" w:hint="eastAsia"/>
          <w:sz w:val="24"/>
        </w:rPr>
        <w:t>100%</w:t>
      </w:r>
      <w:r>
        <w:rPr>
          <w:rFonts w:hAnsi="宋体"/>
          <w:sz w:val="24"/>
        </w:rPr>
        <w:t>。</w:t>
      </w:r>
    </w:p>
    <w:p w14:paraId="075EB52F" w14:textId="77777777" w:rsidR="00FA0412" w:rsidRDefault="00743EED">
      <w:pPr>
        <w:pStyle w:val="a9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Ansi="宋体"/>
          <w:sz w:val="24"/>
        </w:rPr>
        <w:t>验收范围</w:t>
      </w:r>
    </w:p>
    <w:p w14:paraId="57596F24" w14:textId="77777777" w:rsidR="00FA0412" w:rsidRDefault="00743EED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本次验收范围是</w:t>
      </w:r>
      <w:r>
        <w:rPr>
          <w:rFonts w:hAnsi="宋体" w:hint="eastAsia"/>
          <w:sz w:val="24"/>
        </w:rPr>
        <w:t>东营市垦利惠能热电有限公司中水回用零排放项目</w:t>
      </w:r>
      <w:r>
        <w:rPr>
          <w:rFonts w:hAnsi="宋体"/>
          <w:sz w:val="24"/>
        </w:rPr>
        <w:t>的环境保护设施及污染物达标排放情况。</w:t>
      </w:r>
    </w:p>
    <w:p w14:paraId="1D099238" w14:textId="77777777" w:rsidR="00FA0412" w:rsidRDefault="00743EE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Ansi="宋体"/>
          <w:sz w:val="24"/>
        </w:rPr>
        <w:t>工程变动情况</w:t>
      </w:r>
    </w:p>
    <w:p w14:paraId="133B3587" w14:textId="77777777" w:rsidR="00FA0412" w:rsidRDefault="00743EE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b/>
          <w:bCs/>
        </w:rPr>
      </w:pPr>
      <w:r>
        <w:rPr>
          <w:rFonts w:hAnsi="宋体"/>
          <w:sz w:val="24"/>
        </w:rPr>
        <w:t>本项目与原环评相比无重大变动。</w:t>
      </w:r>
    </w:p>
    <w:p w14:paraId="618144F2" w14:textId="77777777" w:rsidR="00FA0412" w:rsidRDefault="00743EE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Ansi="宋体"/>
          <w:sz w:val="24"/>
        </w:rPr>
        <w:t>环境保护设施建设情况</w:t>
      </w:r>
    </w:p>
    <w:p w14:paraId="373EEE00" w14:textId="77777777" w:rsidR="00FA0412" w:rsidRDefault="00743EED">
      <w:pPr>
        <w:pStyle w:val="2"/>
        <w:spacing w:line="360" w:lineRule="auto"/>
        <w:ind w:left="480" w:firstLineChars="0" w:firstLine="0"/>
        <w:rPr>
          <w:rFonts w:cs="Times New Roman"/>
        </w:rPr>
      </w:pPr>
      <w:r>
        <w:rPr>
          <w:rFonts w:cs="Times New Roman" w:hint="eastAsia"/>
        </w:rPr>
        <w:t>（一）废气</w:t>
      </w:r>
    </w:p>
    <w:p w14:paraId="043D5A09" w14:textId="77777777" w:rsidR="00FA0412" w:rsidRDefault="00743EED">
      <w:pPr>
        <w:pStyle w:val="2"/>
        <w:spacing w:line="360" w:lineRule="auto"/>
        <w:ind w:left="480" w:firstLineChars="0" w:firstLine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本项目在运营期无废气产生。</w:t>
      </w:r>
    </w:p>
    <w:p w14:paraId="40B3AB30" w14:textId="77777777" w:rsidR="00FA0412" w:rsidRDefault="00743EED">
      <w:pPr>
        <w:pStyle w:val="2"/>
        <w:spacing w:line="360" w:lineRule="auto"/>
        <w:ind w:left="480" w:firstLineChars="0" w:firstLine="0"/>
        <w:rPr>
          <w:rFonts w:cs="Times New Roman"/>
        </w:rPr>
      </w:pPr>
      <w:r>
        <w:rPr>
          <w:rFonts w:cs="Times New Roman" w:hint="eastAsia"/>
        </w:rPr>
        <w:lastRenderedPageBreak/>
        <w:t>（二）废水</w:t>
      </w:r>
    </w:p>
    <w:p w14:paraId="47BB38D0" w14:textId="77777777" w:rsidR="00FA0412" w:rsidRDefault="00743EED">
      <w:pPr>
        <w:adjustRightInd w:val="0"/>
        <w:snapToGrid w:val="0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本项目进水为厂区脱硫废水及循环冷却排污水。原脱硫废水用于厂区煤场洒水，原循环冷却水用于厂区洒水降尘。</w:t>
      </w:r>
    </w:p>
    <w:p w14:paraId="747F5E5F" w14:textId="77777777" w:rsidR="00FA0412" w:rsidRDefault="00743EED">
      <w:pPr>
        <w:adjustRightInd w:val="0"/>
        <w:snapToGrid w:val="0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本项目实施后，部分回水用于厂区脱硫系统，部分回水用于厂区工艺用水，实现了中水回用零排放。</w:t>
      </w:r>
    </w:p>
    <w:p w14:paraId="55546868" w14:textId="77777777" w:rsidR="00FA0412" w:rsidRDefault="00743EED">
      <w:pPr>
        <w:pStyle w:val="2"/>
        <w:spacing w:line="360" w:lineRule="auto"/>
        <w:ind w:left="480" w:firstLineChars="0" w:firstLine="0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 w:hint="eastAsia"/>
        </w:rPr>
        <w:t>三</w:t>
      </w:r>
      <w:r>
        <w:rPr>
          <w:rFonts w:cs="Times New Roman"/>
        </w:rPr>
        <w:t>）噪声</w:t>
      </w:r>
    </w:p>
    <w:p w14:paraId="22364E67" w14:textId="77777777" w:rsidR="00FA0412" w:rsidRDefault="00743EED">
      <w:pPr>
        <w:adjustRightInd w:val="0"/>
        <w:snapToGrid w:val="0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本项目噪声源主要是机泵等运行过程产生噪声，噪声值约为</w:t>
      </w:r>
      <w:r>
        <w:rPr>
          <w:rFonts w:ascii="Times New Roman" w:eastAsia="宋体" w:hAnsi="Times New Roman" w:cs="Times New Roman" w:hint="eastAsia"/>
          <w:sz w:val="24"/>
          <w:szCs w:val="24"/>
        </w:rPr>
        <w:t>80dB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）～</w:t>
      </w:r>
      <w:r>
        <w:rPr>
          <w:rFonts w:ascii="Times New Roman" w:eastAsia="宋体" w:hAnsi="Times New Roman" w:cs="Times New Roman" w:hint="eastAsia"/>
          <w:sz w:val="24"/>
          <w:szCs w:val="24"/>
        </w:rPr>
        <w:t>85dB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），采取选用低噪声设备、加强设备保养、厂房隔声、距离衰减等措施处理</w:t>
      </w:r>
      <w:r>
        <w:rPr>
          <w:rFonts w:ascii="Times New Roman" w:eastAsia="宋体" w:hAnsi="Times New Roman" w:cs="Times New Roman" w:hint="eastAsia"/>
          <w:sz w:val="24"/>
          <w:szCs w:val="24"/>
        </w:rPr>
        <w:t>后</w:t>
      </w:r>
      <w:r>
        <w:rPr>
          <w:rFonts w:ascii="Times New Roman" w:eastAsia="宋体" w:hAnsi="Times New Roman" w:cs="Times New Roman"/>
          <w:sz w:val="24"/>
          <w:szCs w:val="24"/>
        </w:rPr>
        <w:t>各厂界噪声预计可达到《工业企业厂界环境噪声排放标准》（</w:t>
      </w:r>
      <w:r>
        <w:rPr>
          <w:rFonts w:ascii="Times New Roman" w:eastAsia="宋体" w:hAnsi="Times New Roman" w:cs="Times New Roman"/>
          <w:sz w:val="24"/>
          <w:szCs w:val="24"/>
        </w:rPr>
        <w:t>GB12348-2008</w:t>
      </w:r>
      <w:r>
        <w:rPr>
          <w:rFonts w:ascii="Times New Roman" w:eastAsia="宋体" w:hAnsi="Times New Roman" w:cs="Times New Roman"/>
          <w:sz w:val="24"/>
          <w:szCs w:val="24"/>
        </w:rPr>
        <w:t>）中的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标准。</w:t>
      </w:r>
    </w:p>
    <w:p w14:paraId="186A791F" w14:textId="77777777" w:rsidR="00FA0412" w:rsidRDefault="00743EED">
      <w:pPr>
        <w:pStyle w:val="2"/>
        <w:spacing w:line="360" w:lineRule="auto"/>
        <w:ind w:left="480" w:firstLineChars="0" w:firstLine="0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 w:hint="eastAsia"/>
        </w:rPr>
        <w:t>四</w:t>
      </w:r>
      <w:r>
        <w:rPr>
          <w:rFonts w:cs="Times New Roman"/>
        </w:rPr>
        <w:t>）固体废物</w:t>
      </w:r>
    </w:p>
    <w:p w14:paraId="47B55A7A" w14:textId="77777777" w:rsidR="00FA0412" w:rsidRDefault="00743EED">
      <w:pPr>
        <w:pStyle w:val="ab"/>
        <w:ind w:firstLine="480"/>
      </w:pPr>
      <w:r>
        <w:rPr>
          <w:rFonts w:hint="eastAsia"/>
        </w:rPr>
        <w:t>本项目运营期主要固废为中水处理系统产生的污泥</w:t>
      </w:r>
      <w:r>
        <w:t>S1</w:t>
      </w:r>
      <w:r>
        <w:rPr>
          <w:rFonts w:hint="eastAsia"/>
        </w:rPr>
        <w:t>、</w:t>
      </w:r>
      <w:r>
        <w:rPr>
          <w:rFonts w:hint="eastAsia"/>
        </w:rPr>
        <w:t>废超滤膜</w:t>
      </w:r>
      <w:r>
        <w:rPr>
          <w:rFonts w:hint="eastAsia"/>
        </w:rPr>
        <w:t>S</w:t>
      </w:r>
      <w:r>
        <w:t>2</w:t>
      </w:r>
      <w:r>
        <w:rPr>
          <w:rFonts w:hint="eastAsia"/>
        </w:rPr>
        <w:t>、废反渗透膜</w:t>
      </w:r>
      <w:r>
        <w:rPr>
          <w:rFonts w:hint="eastAsia"/>
        </w:rPr>
        <w:t>S</w:t>
      </w:r>
      <w:r>
        <w:t>3</w:t>
      </w:r>
      <w:r>
        <w:rPr>
          <w:rFonts w:hint="eastAsia"/>
        </w:rPr>
        <w:t>、蒸发结晶废渣</w:t>
      </w:r>
      <w:r>
        <w:rPr>
          <w:rFonts w:hint="eastAsia"/>
        </w:rPr>
        <w:t>S</w:t>
      </w:r>
      <w:r>
        <w:t>4</w:t>
      </w:r>
      <w:r>
        <w:rPr>
          <w:rFonts w:hint="eastAsia"/>
        </w:rPr>
        <w:t>、废离子交换树脂</w:t>
      </w:r>
      <w:r>
        <w:rPr>
          <w:rFonts w:hint="eastAsia"/>
        </w:rPr>
        <w:t>S</w:t>
      </w:r>
      <w:r>
        <w:t>5</w:t>
      </w:r>
      <w:r>
        <w:rPr>
          <w:rFonts w:hint="eastAsia"/>
        </w:rPr>
        <w:t>。</w:t>
      </w:r>
    </w:p>
    <w:p w14:paraId="135CC75A" w14:textId="77777777" w:rsidR="00FA0412" w:rsidRDefault="00743EED">
      <w:pPr>
        <w:pStyle w:val="ab"/>
        <w:ind w:firstLine="480"/>
        <w:rPr>
          <w:rFonts w:eastAsiaTheme="minorEastAsia"/>
        </w:rPr>
      </w:pPr>
      <w:r>
        <w:rPr>
          <w:rFonts w:hint="eastAsia"/>
        </w:rPr>
        <w:t>根据建设单位提供数据，污泥</w:t>
      </w:r>
      <w:r>
        <w:rPr>
          <w:rFonts w:hint="eastAsia"/>
        </w:rPr>
        <w:t>、</w:t>
      </w:r>
      <w:r>
        <w:rPr>
          <w:rFonts w:hint="eastAsia"/>
        </w:rPr>
        <w:t>废超滤膜交由环卫部门处理</w:t>
      </w:r>
      <w:r>
        <w:rPr>
          <w:rFonts w:hint="eastAsia"/>
        </w:rPr>
        <w:t>；</w:t>
      </w:r>
      <w:r>
        <w:rPr>
          <w:rFonts w:hint="eastAsia"/>
        </w:rPr>
        <w:t>废反渗透膜</w:t>
      </w:r>
      <w:r>
        <w:rPr>
          <w:rFonts w:hint="eastAsia"/>
        </w:rPr>
        <w:t>、</w:t>
      </w:r>
      <w:r>
        <w:rPr>
          <w:rFonts w:hint="eastAsia"/>
        </w:rPr>
        <w:t>蒸发结晶废渣外售处理。项目</w:t>
      </w:r>
      <w:r>
        <w:rPr>
          <w:rFonts w:eastAsiaTheme="minorEastAsia" w:hint="eastAsia"/>
        </w:rPr>
        <w:t>离子交换树脂</w:t>
      </w:r>
      <w:r>
        <w:rPr>
          <w:rFonts w:eastAsiaTheme="minorEastAsia"/>
        </w:rPr>
        <w:t>每</w:t>
      </w:r>
      <w:r>
        <w:rPr>
          <w:rFonts w:eastAsiaTheme="minorEastAsia" w:hint="eastAsia"/>
        </w:rPr>
        <w:t>3</w:t>
      </w:r>
      <w:r>
        <w:rPr>
          <w:rFonts w:eastAsiaTheme="minorEastAsia"/>
        </w:rPr>
        <w:t>年更换</w:t>
      </w:r>
      <w:r>
        <w:rPr>
          <w:rFonts w:eastAsiaTheme="minorEastAsia"/>
        </w:rPr>
        <w:t>1</w:t>
      </w:r>
      <w:r>
        <w:rPr>
          <w:rFonts w:eastAsiaTheme="minorEastAsia"/>
        </w:rPr>
        <w:t>次，</w:t>
      </w:r>
      <w:r>
        <w:rPr>
          <w:rFonts w:eastAsiaTheme="minorEastAsia" w:hint="eastAsia"/>
        </w:rPr>
        <w:t>废离子交换树脂</w:t>
      </w:r>
      <w:r>
        <w:rPr>
          <w:rFonts w:eastAsiaTheme="minorEastAsia" w:hint="eastAsia"/>
        </w:rPr>
        <w:t>属于危险废物，</w:t>
      </w:r>
      <w:proofErr w:type="gramStart"/>
      <w:r>
        <w:rPr>
          <w:rFonts w:eastAsiaTheme="minorEastAsia"/>
        </w:rPr>
        <w:t>危废类别</w:t>
      </w:r>
      <w:proofErr w:type="gramEnd"/>
      <w:r>
        <w:rPr>
          <w:rFonts w:eastAsiaTheme="minorEastAsia"/>
        </w:rPr>
        <w:t>为</w:t>
      </w:r>
      <w:r>
        <w:rPr>
          <w:rFonts w:eastAsiaTheme="minorEastAsia"/>
        </w:rPr>
        <w:t>HW13</w:t>
      </w:r>
      <w:r>
        <w:rPr>
          <w:rFonts w:eastAsiaTheme="minorEastAsia"/>
        </w:rPr>
        <w:t>，</w:t>
      </w:r>
      <w:proofErr w:type="gramStart"/>
      <w:r>
        <w:rPr>
          <w:rFonts w:eastAsiaTheme="minorEastAsia"/>
        </w:rPr>
        <w:t>危废代码</w:t>
      </w:r>
      <w:proofErr w:type="gramEnd"/>
      <w:r>
        <w:rPr>
          <w:rFonts w:eastAsiaTheme="minorEastAsia"/>
        </w:rPr>
        <w:t>：</w:t>
      </w:r>
      <w:r>
        <w:rPr>
          <w:rFonts w:hint="eastAsia"/>
        </w:rPr>
        <w:t>900-015-13</w:t>
      </w:r>
      <w:r>
        <w:rPr>
          <w:rFonts w:eastAsiaTheme="minorEastAsia" w:hint="eastAsia"/>
        </w:rPr>
        <w:t>，</w:t>
      </w:r>
      <w:r>
        <w:rPr>
          <w:rFonts w:eastAsiaTheme="minorEastAsia"/>
        </w:rPr>
        <w:t>委托有资质单位处置</w:t>
      </w:r>
      <w:r>
        <w:rPr>
          <w:rFonts w:eastAsiaTheme="minorEastAsia" w:hint="eastAsia"/>
        </w:rPr>
        <w:t>。</w:t>
      </w:r>
    </w:p>
    <w:p w14:paraId="695870AE" w14:textId="77777777" w:rsidR="00FA0412" w:rsidRPr="00743EED" w:rsidRDefault="00743EED">
      <w:pPr>
        <w:pStyle w:val="a9"/>
        <w:numPr>
          <w:ilvl w:val="0"/>
          <w:numId w:val="1"/>
        </w:numPr>
        <w:spacing w:line="360" w:lineRule="auto"/>
        <w:ind w:firstLineChars="0"/>
        <w:rPr>
          <w:rFonts w:hAnsi="宋体"/>
          <w:sz w:val="24"/>
        </w:rPr>
      </w:pPr>
      <w:r>
        <w:rPr>
          <w:rFonts w:hAnsi="宋体"/>
          <w:sz w:val="24"/>
        </w:rPr>
        <w:t>环境保护设施建设情况</w:t>
      </w:r>
    </w:p>
    <w:p w14:paraId="00E7AAC4" w14:textId="77777777" w:rsidR="00FA0412" w:rsidRDefault="00743EED">
      <w:pPr>
        <w:pStyle w:val="a9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Ansi="宋体"/>
          <w:sz w:val="24"/>
        </w:rPr>
        <w:t>验收监测工况</w:t>
      </w:r>
      <w:bookmarkStart w:id="0" w:name="_GoBack"/>
      <w:bookmarkEnd w:id="0"/>
    </w:p>
    <w:p w14:paraId="528ED5BA" w14:textId="77777777" w:rsidR="00FA0412" w:rsidRDefault="00743EED">
      <w:pPr>
        <w:pStyle w:val="2"/>
        <w:spacing w:line="360" w:lineRule="auto"/>
        <w:ind w:firstLine="480"/>
        <w:jc w:val="both"/>
        <w:rPr>
          <w:rFonts w:cs="Times New Roman"/>
        </w:rPr>
      </w:pPr>
      <w:r>
        <w:rPr>
          <w:rFonts w:cs="Times New Roman" w:hint="eastAsia"/>
        </w:rPr>
        <w:t>验收监测期间，生产工况稳定，</w:t>
      </w:r>
      <w:proofErr w:type="gramStart"/>
      <w:r>
        <w:rPr>
          <w:rFonts w:cs="Times New Roman" w:hint="eastAsia"/>
        </w:rPr>
        <w:t>各设施</w:t>
      </w:r>
      <w:proofErr w:type="gramEnd"/>
      <w:r>
        <w:rPr>
          <w:rFonts w:cs="Times New Roman" w:hint="eastAsia"/>
        </w:rPr>
        <w:t>运转正常，监测结果具有代表性，符合验收监测的要求。</w:t>
      </w:r>
    </w:p>
    <w:p w14:paraId="4CAA2713" w14:textId="77777777" w:rsidR="00FA0412" w:rsidRDefault="00743EED">
      <w:pPr>
        <w:pStyle w:val="a9"/>
        <w:numPr>
          <w:ilvl w:val="0"/>
          <w:numId w:val="3"/>
        </w:numPr>
        <w:spacing w:line="360" w:lineRule="auto"/>
        <w:ind w:firstLineChars="0"/>
        <w:rPr>
          <w:rFonts w:hAnsi="宋体"/>
          <w:sz w:val="24"/>
        </w:rPr>
      </w:pPr>
      <w:r>
        <w:rPr>
          <w:rFonts w:hAnsi="宋体" w:hint="eastAsia"/>
          <w:sz w:val="24"/>
        </w:rPr>
        <w:t>大气环境</w:t>
      </w:r>
    </w:p>
    <w:p w14:paraId="36A9D56D" w14:textId="77777777" w:rsidR="00FA0412" w:rsidRDefault="00743EED">
      <w:pPr>
        <w:pStyle w:val="2"/>
        <w:spacing w:line="360" w:lineRule="auto"/>
        <w:ind w:firstLine="480"/>
        <w:jc w:val="both"/>
        <w:rPr>
          <w:rFonts w:cs="Times New Roman"/>
        </w:rPr>
      </w:pPr>
      <w:r>
        <w:rPr>
          <w:rFonts w:cs="Times New Roman" w:hint="eastAsia"/>
        </w:rPr>
        <w:t>本项目在施工建设中，认真执行了环境空气污染的防治措施，建设项目施工期对周围环境影响不大；营运期无废气产生对周边环境空气质量影响不大。</w:t>
      </w:r>
    </w:p>
    <w:p w14:paraId="2C6D820D" w14:textId="77777777" w:rsidR="00FA0412" w:rsidRDefault="00743EED">
      <w:pPr>
        <w:pStyle w:val="2"/>
        <w:spacing w:line="360" w:lineRule="auto"/>
        <w:ind w:firstLine="480"/>
        <w:jc w:val="both"/>
        <w:rPr>
          <w:rFonts w:cs="Times New Roman"/>
        </w:rPr>
      </w:pPr>
      <w:r>
        <w:rPr>
          <w:rFonts w:cs="Times New Roman"/>
        </w:rPr>
        <w:t>本项目产生废气对周边环境影响不大。</w:t>
      </w:r>
    </w:p>
    <w:p w14:paraId="00230332" w14:textId="77777777" w:rsidR="00FA0412" w:rsidRDefault="00743EED">
      <w:pPr>
        <w:pStyle w:val="2"/>
        <w:spacing w:line="360" w:lineRule="auto"/>
        <w:ind w:firstLine="480"/>
        <w:jc w:val="both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 w:hint="eastAsia"/>
        </w:rPr>
        <w:t>三</w:t>
      </w:r>
      <w:r>
        <w:rPr>
          <w:rFonts w:cs="Times New Roman"/>
        </w:rPr>
        <w:t>）</w:t>
      </w:r>
      <w:r>
        <w:rPr>
          <w:rFonts w:cs="Times New Roman" w:hint="eastAsia"/>
        </w:rPr>
        <w:t>水环境</w:t>
      </w:r>
    </w:p>
    <w:p w14:paraId="5A3E39CD" w14:textId="77777777" w:rsidR="00FA0412" w:rsidRDefault="00743EED">
      <w:pPr>
        <w:adjustRightInd w:val="0"/>
        <w:snapToGrid w:val="0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本项目进水为厂区脱硫废水及循环冷却排污水。原脱硫废水用于厂区煤场洒水，原循环冷却水用于厂区洒水降尘。</w:t>
      </w:r>
    </w:p>
    <w:p w14:paraId="203C66DC" w14:textId="77777777" w:rsidR="00FA0412" w:rsidRDefault="00743EED">
      <w:pPr>
        <w:pStyle w:val="2"/>
        <w:spacing w:line="360" w:lineRule="auto"/>
        <w:ind w:firstLine="4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本项目实施后，部分回水用于厂区脱硫系统，部分回水用于厂区工艺用水，实现了中水回用零排放。</w:t>
      </w:r>
    </w:p>
    <w:p w14:paraId="4842D1AD" w14:textId="77777777" w:rsidR="00FA0412" w:rsidRDefault="00743EED">
      <w:pPr>
        <w:pStyle w:val="2"/>
        <w:spacing w:line="360" w:lineRule="auto"/>
        <w:ind w:firstLine="480"/>
        <w:jc w:val="both"/>
        <w:rPr>
          <w:rFonts w:cs="Times New Roman"/>
        </w:rPr>
      </w:pPr>
      <w:r>
        <w:rPr>
          <w:rFonts w:cs="Times New Roman"/>
        </w:rPr>
        <w:t>本项目产生</w:t>
      </w:r>
      <w:r>
        <w:rPr>
          <w:rFonts w:cs="Times New Roman" w:hint="eastAsia"/>
        </w:rPr>
        <w:t>无废水产生，</w:t>
      </w:r>
      <w:r>
        <w:rPr>
          <w:rFonts w:cs="Times New Roman"/>
        </w:rPr>
        <w:t>对周边环境影响不大。</w:t>
      </w:r>
    </w:p>
    <w:p w14:paraId="4672A5D3" w14:textId="77777777" w:rsidR="00FA0412" w:rsidRDefault="00FA0412">
      <w:pPr>
        <w:adjustRightInd w:val="0"/>
        <w:snapToGrid w:val="0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37507089" w14:textId="77777777" w:rsidR="00FA0412" w:rsidRDefault="00743EED">
      <w:pPr>
        <w:pStyle w:val="ab"/>
        <w:ind w:firstLine="480"/>
      </w:pPr>
      <w:r>
        <w:rPr>
          <w:rFonts w:hint="eastAsia"/>
        </w:rPr>
        <w:t>（四）声环境</w:t>
      </w:r>
    </w:p>
    <w:p w14:paraId="23FA0C4A" w14:textId="77777777" w:rsidR="00FA0412" w:rsidRDefault="00743EED">
      <w:pPr>
        <w:adjustRightInd w:val="0"/>
        <w:snapToGrid w:val="0"/>
        <w:spacing w:line="360" w:lineRule="auto"/>
        <w:ind w:firstLine="480"/>
        <w:rPr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本项目噪声源主要是机泵等运行过程产生噪声，噪声值约为</w:t>
      </w:r>
      <w:r>
        <w:rPr>
          <w:rFonts w:ascii="Times New Roman" w:eastAsia="宋体" w:hAnsi="Times New Roman" w:cs="Times New Roman" w:hint="eastAsia"/>
          <w:sz w:val="24"/>
          <w:szCs w:val="24"/>
        </w:rPr>
        <w:t>80dB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）～</w:t>
      </w:r>
      <w:r>
        <w:rPr>
          <w:rFonts w:ascii="Times New Roman" w:eastAsia="宋体" w:hAnsi="Times New Roman" w:cs="Times New Roman" w:hint="eastAsia"/>
          <w:sz w:val="24"/>
          <w:szCs w:val="24"/>
        </w:rPr>
        <w:t>85dB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），采取选用低噪声设备、加强设备保养、厂房隔声、距离衰减等措施处理</w:t>
      </w:r>
      <w:r>
        <w:rPr>
          <w:rFonts w:ascii="Times New Roman" w:eastAsia="宋体" w:hAnsi="Times New Roman" w:cs="Times New Roman" w:hint="eastAsia"/>
          <w:sz w:val="24"/>
          <w:szCs w:val="24"/>
        </w:rPr>
        <w:t>后</w:t>
      </w:r>
      <w:r>
        <w:rPr>
          <w:rFonts w:ascii="Times New Roman" w:eastAsia="宋体" w:hAnsi="Times New Roman" w:cs="Times New Roman"/>
          <w:sz w:val="24"/>
          <w:szCs w:val="24"/>
        </w:rPr>
        <w:t>各厂界噪声预计可达到《工业企业厂界环境噪声排放标准》（</w:t>
      </w:r>
      <w:r>
        <w:rPr>
          <w:rFonts w:ascii="Times New Roman" w:eastAsia="宋体" w:hAnsi="Times New Roman" w:cs="Times New Roman"/>
          <w:sz w:val="24"/>
          <w:szCs w:val="24"/>
        </w:rPr>
        <w:t>GB12348-2008</w:t>
      </w:r>
      <w:r>
        <w:rPr>
          <w:rFonts w:ascii="Times New Roman" w:eastAsia="宋体" w:hAnsi="Times New Roman" w:cs="Times New Roman"/>
          <w:sz w:val="24"/>
          <w:szCs w:val="24"/>
        </w:rPr>
        <w:t>）中的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标准。</w:t>
      </w:r>
      <w:r>
        <w:rPr>
          <w:color w:val="000000"/>
          <w:sz w:val="24"/>
        </w:rPr>
        <w:t>对周围环境影响较小。</w:t>
      </w:r>
    </w:p>
    <w:p w14:paraId="4AB64887" w14:textId="77777777" w:rsidR="00FA0412" w:rsidRDefault="00743EED">
      <w:pPr>
        <w:pStyle w:val="2"/>
        <w:spacing w:line="360" w:lineRule="auto"/>
        <w:ind w:left="480" w:firstLineChars="0" w:firstLine="0"/>
        <w:rPr>
          <w:rFonts w:cs="Times New Roman"/>
        </w:rPr>
      </w:pPr>
      <w:r>
        <w:rPr>
          <w:rFonts w:cs="Times New Roman" w:hint="eastAsia"/>
        </w:rPr>
        <w:t>（五）</w:t>
      </w:r>
      <w:r>
        <w:rPr>
          <w:rFonts w:cs="Times New Roman"/>
        </w:rPr>
        <w:t>固体废物</w:t>
      </w:r>
    </w:p>
    <w:p w14:paraId="4E092E1F" w14:textId="77777777" w:rsidR="00FA0412" w:rsidRDefault="00743EED">
      <w:pPr>
        <w:pStyle w:val="ab"/>
        <w:ind w:firstLine="480"/>
        <w:rPr>
          <w:szCs w:val="24"/>
        </w:rPr>
      </w:pPr>
      <w:r>
        <w:rPr>
          <w:rFonts w:hint="eastAsia"/>
          <w:szCs w:val="24"/>
        </w:rPr>
        <w:t>本项目运营期主要固废为中水处理系统产生的污泥</w:t>
      </w:r>
      <w:r>
        <w:rPr>
          <w:rFonts w:hint="eastAsia"/>
          <w:szCs w:val="24"/>
        </w:rPr>
        <w:t>S1</w:t>
      </w:r>
      <w:r>
        <w:rPr>
          <w:rFonts w:hint="eastAsia"/>
          <w:szCs w:val="24"/>
        </w:rPr>
        <w:t>、废超滤膜</w:t>
      </w:r>
      <w:r>
        <w:rPr>
          <w:rFonts w:hint="eastAsia"/>
          <w:szCs w:val="24"/>
        </w:rPr>
        <w:t>S2</w:t>
      </w:r>
      <w:r>
        <w:rPr>
          <w:rFonts w:hint="eastAsia"/>
          <w:szCs w:val="24"/>
        </w:rPr>
        <w:t>、废反渗透膜</w:t>
      </w:r>
      <w:r>
        <w:rPr>
          <w:rFonts w:hint="eastAsia"/>
          <w:szCs w:val="24"/>
        </w:rPr>
        <w:t>S3</w:t>
      </w:r>
      <w:r>
        <w:rPr>
          <w:rFonts w:hint="eastAsia"/>
          <w:szCs w:val="24"/>
        </w:rPr>
        <w:t>、蒸发结晶废渣</w:t>
      </w:r>
      <w:r>
        <w:rPr>
          <w:rFonts w:hint="eastAsia"/>
          <w:szCs w:val="24"/>
        </w:rPr>
        <w:t>S4</w:t>
      </w:r>
      <w:r>
        <w:rPr>
          <w:rFonts w:hint="eastAsia"/>
          <w:szCs w:val="24"/>
        </w:rPr>
        <w:t>、废离子交换树脂</w:t>
      </w:r>
      <w:r>
        <w:rPr>
          <w:rFonts w:hint="eastAsia"/>
          <w:szCs w:val="24"/>
        </w:rPr>
        <w:t>S5</w:t>
      </w:r>
      <w:r>
        <w:rPr>
          <w:rFonts w:hint="eastAsia"/>
          <w:szCs w:val="24"/>
        </w:rPr>
        <w:t>。</w:t>
      </w:r>
    </w:p>
    <w:p w14:paraId="5D9C558B" w14:textId="4FF3B683" w:rsidR="00DE5D3A" w:rsidRDefault="00743EED" w:rsidP="00DE5D3A">
      <w:pPr>
        <w:pStyle w:val="ab"/>
        <w:ind w:firstLine="480"/>
        <w:rPr>
          <w:rFonts w:hint="eastAsia"/>
          <w:szCs w:val="24"/>
        </w:rPr>
      </w:pPr>
      <w:r>
        <w:rPr>
          <w:rFonts w:hint="eastAsia"/>
          <w:szCs w:val="24"/>
        </w:rPr>
        <w:t>根据建设单位提供数据，污泥、废超滤膜交由环卫部门处理；废反渗透膜、蒸发结晶废渣外售处理。项目离子交换树脂每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年更换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次，废离子交换树脂属于危险废物，</w:t>
      </w:r>
      <w:proofErr w:type="gramStart"/>
      <w:r>
        <w:rPr>
          <w:rFonts w:hint="eastAsia"/>
          <w:szCs w:val="24"/>
        </w:rPr>
        <w:t>危废类别</w:t>
      </w:r>
      <w:proofErr w:type="gramEnd"/>
      <w:r>
        <w:rPr>
          <w:rFonts w:hint="eastAsia"/>
          <w:szCs w:val="24"/>
        </w:rPr>
        <w:t>为</w:t>
      </w:r>
      <w:r>
        <w:rPr>
          <w:rFonts w:hint="eastAsia"/>
          <w:szCs w:val="24"/>
        </w:rPr>
        <w:t>HW13</w:t>
      </w:r>
      <w:r>
        <w:rPr>
          <w:rFonts w:hint="eastAsia"/>
          <w:szCs w:val="24"/>
        </w:rPr>
        <w:t>，</w:t>
      </w:r>
      <w:proofErr w:type="gramStart"/>
      <w:r>
        <w:rPr>
          <w:rFonts w:hint="eastAsia"/>
          <w:szCs w:val="24"/>
        </w:rPr>
        <w:t>危废代码</w:t>
      </w:r>
      <w:proofErr w:type="gramEnd"/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900-015-13</w:t>
      </w:r>
      <w:r>
        <w:rPr>
          <w:rFonts w:hint="eastAsia"/>
          <w:szCs w:val="24"/>
        </w:rPr>
        <w:t>，委托有资质单位处置</w:t>
      </w:r>
      <w:r>
        <w:rPr>
          <w:rFonts w:hint="eastAsia"/>
          <w:szCs w:val="24"/>
        </w:rPr>
        <w:t>。</w:t>
      </w:r>
      <w:r>
        <w:rPr>
          <w:rFonts w:hint="eastAsia"/>
          <w:szCs w:val="24"/>
        </w:rPr>
        <w:t>对周围环境影响较小。</w:t>
      </w:r>
    </w:p>
    <w:p w14:paraId="6776B7DB" w14:textId="77777777" w:rsidR="00FA0412" w:rsidRDefault="00743EED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建议</w:t>
      </w:r>
    </w:p>
    <w:p w14:paraId="50784412" w14:textId="77777777" w:rsidR="00FA0412" w:rsidRDefault="00743EED">
      <w:pPr>
        <w:pStyle w:val="a9"/>
        <w:adjustRightInd w:val="0"/>
        <w:snapToGrid w:val="0"/>
        <w:spacing w:line="360" w:lineRule="auto"/>
        <w:ind w:left="480" w:firstLineChars="0" w:firstLine="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加强日常监督，保证污染物治理设施正常运行。</w:t>
      </w:r>
    </w:p>
    <w:p w14:paraId="30D83584" w14:textId="77777777" w:rsidR="00FA0412" w:rsidRDefault="00743EED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验收结论</w:t>
      </w:r>
    </w:p>
    <w:p w14:paraId="7189CDA9" w14:textId="77777777" w:rsidR="00FA0412" w:rsidRPr="00DE5D3A" w:rsidRDefault="00743EED" w:rsidP="00DE5D3A">
      <w:pPr>
        <w:pStyle w:val="ab"/>
        <w:ind w:firstLine="480"/>
        <w:rPr>
          <w:szCs w:val="24"/>
        </w:rPr>
      </w:pPr>
      <w:r w:rsidRPr="00DE5D3A">
        <w:rPr>
          <w:szCs w:val="24"/>
        </w:rPr>
        <w:t>验收小组人员按照《建设项目竣工环境保护验收暂行办法》中所规定的</w:t>
      </w:r>
      <w:proofErr w:type="gramStart"/>
      <w:r w:rsidRPr="00DE5D3A">
        <w:rPr>
          <w:szCs w:val="24"/>
        </w:rPr>
        <w:t>的</w:t>
      </w:r>
      <w:proofErr w:type="gramEnd"/>
      <w:r w:rsidRPr="00DE5D3A">
        <w:rPr>
          <w:szCs w:val="24"/>
        </w:rPr>
        <w:t>验收不合格情形对项目逐一对照核查，项目建设过程中按照环</w:t>
      </w:r>
      <w:proofErr w:type="gramStart"/>
      <w:r w:rsidRPr="00DE5D3A">
        <w:rPr>
          <w:szCs w:val="24"/>
        </w:rPr>
        <w:t>评及其</w:t>
      </w:r>
      <w:proofErr w:type="gramEnd"/>
      <w:r w:rsidRPr="00DE5D3A">
        <w:rPr>
          <w:szCs w:val="24"/>
        </w:rPr>
        <w:t>批复要求落实了相关环保措施，</w:t>
      </w:r>
      <w:r w:rsidRPr="00DE5D3A">
        <w:rPr>
          <w:szCs w:val="24"/>
        </w:rPr>
        <w:t>“</w:t>
      </w:r>
      <w:r w:rsidRPr="00DE5D3A">
        <w:rPr>
          <w:szCs w:val="24"/>
        </w:rPr>
        <w:t>三废</w:t>
      </w:r>
      <w:r w:rsidRPr="00DE5D3A">
        <w:rPr>
          <w:szCs w:val="24"/>
        </w:rPr>
        <w:t>”</w:t>
      </w:r>
      <w:r w:rsidRPr="00DE5D3A">
        <w:rPr>
          <w:szCs w:val="24"/>
        </w:rPr>
        <w:t>排放达到国家和地方相关排放标准，验收小组一致认为本</w:t>
      </w:r>
      <w:r w:rsidRPr="00DE5D3A">
        <w:rPr>
          <w:szCs w:val="24"/>
        </w:rPr>
        <w:t>项目可以通过竣工环境保护验收。</w:t>
      </w:r>
    </w:p>
    <w:p w14:paraId="4EA3BBE3" w14:textId="77777777" w:rsidR="00FA0412" w:rsidRDefault="00FA0412">
      <w:pPr>
        <w:spacing w:line="360" w:lineRule="auto"/>
        <w:ind w:left="480"/>
        <w:rPr>
          <w:sz w:val="24"/>
        </w:rPr>
      </w:pPr>
    </w:p>
    <w:p w14:paraId="7A6BD817" w14:textId="77777777" w:rsidR="00FA0412" w:rsidRDefault="00FA0412">
      <w:pPr>
        <w:rPr>
          <w:szCs w:val="24"/>
        </w:rPr>
      </w:pPr>
    </w:p>
    <w:sectPr w:rsidR="00FA0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FE2"/>
    <w:multiLevelType w:val="multilevel"/>
    <w:tmpl w:val="24394FE2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8F64E22"/>
    <w:multiLevelType w:val="multilevel"/>
    <w:tmpl w:val="48F64E22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DC0371F"/>
    <w:multiLevelType w:val="multilevel"/>
    <w:tmpl w:val="6DC0371F"/>
    <w:lvl w:ilvl="0">
      <w:start w:val="1"/>
      <w:numFmt w:val="japaneseCount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4018"/>
    <w:rsid w:val="00025D5B"/>
    <w:rsid w:val="00100F6B"/>
    <w:rsid w:val="00145150"/>
    <w:rsid w:val="00172A27"/>
    <w:rsid w:val="001765F6"/>
    <w:rsid w:val="001936FF"/>
    <w:rsid w:val="00205FAB"/>
    <w:rsid w:val="00284D10"/>
    <w:rsid w:val="0029273D"/>
    <w:rsid w:val="002D7474"/>
    <w:rsid w:val="00305BB1"/>
    <w:rsid w:val="00355C9F"/>
    <w:rsid w:val="003A25C3"/>
    <w:rsid w:val="003F1609"/>
    <w:rsid w:val="00462F72"/>
    <w:rsid w:val="004E2EA7"/>
    <w:rsid w:val="005A112B"/>
    <w:rsid w:val="00632535"/>
    <w:rsid w:val="00635C5B"/>
    <w:rsid w:val="00677692"/>
    <w:rsid w:val="00685F14"/>
    <w:rsid w:val="0071723E"/>
    <w:rsid w:val="007278C8"/>
    <w:rsid w:val="00743EED"/>
    <w:rsid w:val="007B617B"/>
    <w:rsid w:val="00855EC0"/>
    <w:rsid w:val="008C4598"/>
    <w:rsid w:val="008D4C4F"/>
    <w:rsid w:val="00924162"/>
    <w:rsid w:val="00975032"/>
    <w:rsid w:val="009E497A"/>
    <w:rsid w:val="00A01799"/>
    <w:rsid w:val="00A34662"/>
    <w:rsid w:val="00A53FA4"/>
    <w:rsid w:val="00A57BB2"/>
    <w:rsid w:val="00B5767B"/>
    <w:rsid w:val="00BB1B6F"/>
    <w:rsid w:val="00BD128A"/>
    <w:rsid w:val="00C4252C"/>
    <w:rsid w:val="00C65F8E"/>
    <w:rsid w:val="00CD6FE6"/>
    <w:rsid w:val="00CE6F8F"/>
    <w:rsid w:val="00CF0CCE"/>
    <w:rsid w:val="00D00D12"/>
    <w:rsid w:val="00D846FA"/>
    <w:rsid w:val="00DB3B99"/>
    <w:rsid w:val="00DE5D3A"/>
    <w:rsid w:val="00DF66F0"/>
    <w:rsid w:val="00E11EBE"/>
    <w:rsid w:val="00E87BF2"/>
    <w:rsid w:val="00ED50F8"/>
    <w:rsid w:val="00F34B93"/>
    <w:rsid w:val="00F73B6A"/>
    <w:rsid w:val="00FA0412"/>
    <w:rsid w:val="018E7FFB"/>
    <w:rsid w:val="1CC42DC9"/>
    <w:rsid w:val="6BD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09125"/>
  <w15:docId w15:val="{F2E6255F-1496-4DDC-8C7C-88094102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qFormat/>
    <w:pPr>
      <w:jc w:val="center"/>
    </w:pPr>
    <w:rPr>
      <w:rFonts w:ascii="Calibri" w:hAnsi="Calibri"/>
      <w:bCs/>
      <w:szCs w:val="32"/>
    </w:r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07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paragraph" w:customStyle="1" w:styleId="2">
    <w:name w:val="正文2"/>
    <w:qFormat/>
    <w:pPr>
      <w:autoSpaceDE w:val="0"/>
      <w:autoSpaceDN w:val="0"/>
      <w:adjustRightInd w:val="0"/>
      <w:snapToGrid w:val="0"/>
      <w:spacing w:line="500" w:lineRule="exact"/>
      <w:ind w:firstLineChars="200" w:firstLine="200"/>
      <w:textAlignment w:val="baseline"/>
    </w:pPr>
    <w:rPr>
      <w:rFonts w:cs="宋体"/>
      <w:sz w:val="24"/>
    </w:rPr>
  </w:style>
  <w:style w:type="paragraph" w:customStyle="1" w:styleId="aa">
    <w:name w:val="环评表数据表格填写"/>
    <w:qFormat/>
    <w:pPr>
      <w:widowControl w:val="0"/>
      <w:adjustRightInd w:val="0"/>
      <w:snapToGrid w:val="0"/>
      <w:jc w:val="center"/>
    </w:pPr>
    <w:rPr>
      <w:kern w:val="2"/>
      <w:sz w:val="21"/>
      <w:szCs w:val="30"/>
    </w:rPr>
  </w:style>
  <w:style w:type="paragraph" w:customStyle="1" w:styleId="ab">
    <w:name w:val="环评表正文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kern w:val="2"/>
      <w:sz w:val="24"/>
      <w:szCs w:val="30"/>
    </w:rPr>
  </w:style>
  <w:style w:type="paragraph" w:customStyle="1" w:styleId="ac">
    <w:name w:val="验收二级"/>
    <w:basedOn w:val="a"/>
    <w:qFormat/>
    <w:pPr>
      <w:spacing w:line="360" w:lineRule="auto"/>
      <w:outlineLvl w:val="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ad">
    <w:name w:val="表格内容"/>
    <w:basedOn w:val="a"/>
    <w:qFormat/>
    <w:pPr>
      <w:autoSpaceDE w:val="0"/>
      <w:autoSpaceDN w:val="0"/>
      <w:adjustRightInd w:val="0"/>
      <w:snapToGrid w:val="0"/>
      <w:jc w:val="center"/>
    </w:pPr>
    <w:rPr>
      <w:rFonts w:ascii="宋体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0851A-48D8-48C2-B573-E70A8601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425</Words>
  <Characters>2425</Characters>
  <Application>Microsoft Office Word</Application>
  <DocSecurity>0</DocSecurity>
  <Lines>20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cp:lastPrinted>2021-05-26T00:58:00Z</cp:lastPrinted>
  <dcterms:created xsi:type="dcterms:W3CDTF">2020-09-01T07:06:00Z</dcterms:created>
  <dcterms:modified xsi:type="dcterms:W3CDTF">2021-05-26T01:00:00Z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AB7510227B8C4064A161C1903B3B501F</vt:lpwstr>
  </property>
</Properties>
</file>