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ascii="黑体" w:hAnsi="仿宋" w:eastAsia="黑体" w:cs="仿宋_GB2312"/>
          <w:color w:val="000000"/>
          <w:shd w:val="clear" w:color="auto" w:fill="FEFFFE"/>
        </w:rPr>
      </w:pPr>
      <w:r>
        <w:rPr>
          <w:rFonts w:hint="eastAsia" w:ascii="黑体" w:hAnsi="仿宋" w:eastAsia="黑体" w:cs="仿宋_GB2312"/>
          <w:color w:val="000000"/>
          <w:shd w:val="clear" w:color="auto" w:fill="FEFFFE"/>
        </w:rPr>
        <w:t>附件</w:t>
      </w:r>
    </w:p>
    <w:p>
      <w:pPr>
        <w:spacing w:after="289" w:afterLines="50" w:line="600" w:lineRule="exact"/>
        <w:jc w:val="center"/>
        <w:rPr>
          <w:rFonts w:hint="eastAsia" w:ascii="方正小标宋简体" w:hAnsi="黑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/>
          <w:color w:val="000000"/>
          <w:sz w:val="44"/>
          <w:szCs w:val="44"/>
        </w:rPr>
        <w:t>山东省企业环境违法违规行为记分标准</w:t>
      </w:r>
    </w:p>
    <w:tbl>
      <w:tblPr>
        <w:tblStyle w:val="6"/>
        <w:tblW w:w="9293" w:type="dxa"/>
        <w:jc w:val="center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286"/>
        <w:gridCol w:w="4519"/>
        <w:gridCol w:w="14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 w:cs="宋体"/>
                <w:b/>
                <w:color w:val="000000"/>
                <w:sz w:val="21"/>
                <w:szCs w:val="21"/>
              </w:rPr>
              <w:t>环境违法违规行为处罚处理类别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 w:cs="宋体"/>
                <w:b/>
                <w:color w:val="000000"/>
                <w:sz w:val="21"/>
                <w:szCs w:val="21"/>
              </w:rPr>
              <w:t>记分值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警告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责令改正或者限期改正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罚款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罚款1万以下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</w:p>
        </w:tc>
        <w:tc>
          <w:tcPr>
            <w:tcW w:w="2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罚款1万及以上、5万以下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</w:p>
        </w:tc>
        <w:tc>
          <w:tcPr>
            <w:tcW w:w="2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罚款5万及以上、10万以下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</w:p>
        </w:tc>
        <w:tc>
          <w:tcPr>
            <w:tcW w:w="2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罚款10万及以上、20万以下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</w:p>
        </w:tc>
        <w:tc>
          <w:tcPr>
            <w:tcW w:w="2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罚款20万及以上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责令停止建设</w:t>
            </w:r>
          </w:p>
        </w:tc>
        <w:tc>
          <w:tcPr>
            <w:tcW w:w="4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登记表类建设项目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</w:p>
        </w:tc>
        <w:tc>
          <w:tcPr>
            <w:tcW w:w="2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</w:p>
        </w:tc>
        <w:tc>
          <w:tcPr>
            <w:tcW w:w="4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报告表类建设项目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</w:p>
        </w:tc>
        <w:tc>
          <w:tcPr>
            <w:tcW w:w="2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</w:p>
        </w:tc>
        <w:tc>
          <w:tcPr>
            <w:tcW w:w="4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报告书类建设项目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6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责令限制生产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6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责令停产整治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6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实施查封、扣押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6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没收违法所得、没收非法财物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6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暂扣许可证或者其他具有许可性质的证件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吊销许可证或者其他具有许可性质的证件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移送适用行政拘留的环境违法案件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移送涉嫌环境犯罪案件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12</w:t>
            </w:r>
          </w:p>
        </w:tc>
      </w:tr>
    </w:tbl>
    <w:p>
      <w:pPr>
        <w:spacing w:line="400" w:lineRule="exact"/>
        <w:ind w:firstLine="203" w:firstLineChars="98"/>
        <w:rPr>
          <w:rFonts w:hint="eastAsia" w:ascii="黑体" w:hAnsi="仿宋" w:eastAsia="黑体"/>
          <w:b/>
          <w:color w:val="000000"/>
          <w:sz w:val="21"/>
          <w:szCs w:val="21"/>
        </w:rPr>
      </w:pPr>
      <w:r>
        <w:rPr>
          <w:rFonts w:hint="eastAsia" w:ascii="黑体" w:hAnsi="仿宋" w:eastAsia="黑体"/>
          <w:b/>
          <w:color w:val="000000"/>
          <w:sz w:val="21"/>
          <w:szCs w:val="21"/>
        </w:rPr>
        <w:t>说明：</w:t>
      </w:r>
    </w:p>
    <w:p>
      <w:pPr>
        <w:spacing w:line="300" w:lineRule="exact"/>
        <w:ind w:firstLine="412" w:firstLineChars="200"/>
        <w:rPr>
          <w:rFonts w:hint="eastAsia" w:ascii="黑体" w:hAnsi="仿宋" w:eastAsia="黑体"/>
          <w:color w:val="000000"/>
          <w:sz w:val="21"/>
          <w:szCs w:val="21"/>
        </w:rPr>
      </w:pPr>
      <w:r>
        <w:rPr>
          <w:rFonts w:hint="eastAsia" w:ascii="黑体" w:hAnsi="仿宋" w:eastAsia="黑体"/>
          <w:color w:val="000000"/>
          <w:sz w:val="21"/>
          <w:szCs w:val="21"/>
        </w:rPr>
        <w:t>一、对企业不同环境违法违规行为，分次采取环境行政处罚处理措施的，分别记分。</w:t>
      </w:r>
    </w:p>
    <w:p>
      <w:pPr>
        <w:spacing w:line="300" w:lineRule="exact"/>
        <w:ind w:firstLine="412" w:firstLineChars="200"/>
        <w:rPr>
          <w:rFonts w:hint="eastAsia" w:ascii="黑体" w:hAnsi="仿宋" w:eastAsia="黑体"/>
          <w:color w:val="000000"/>
          <w:sz w:val="21"/>
          <w:szCs w:val="21"/>
        </w:rPr>
      </w:pPr>
      <w:r>
        <w:rPr>
          <w:rFonts w:hint="eastAsia" w:ascii="黑体" w:hAnsi="仿宋" w:eastAsia="黑体"/>
          <w:color w:val="000000"/>
          <w:sz w:val="21"/>
          <w:szCs w:val="21"/>
        </w:rPr>
        <w:t>二、对企业某一环境违法违规行为，采取两种以上环境行政处罚处理措施的，按照记分值最高的类别进行记分。如企业污染物超标排放，采取罚款10万元和限制生产处罚处理措施，按照限制生产类别进行记分。</w:t>
      </w:r>
    </w:p>
    <w:p>
      <w:pPr>
        <w:spacing w:line="300" w:lineRule="exact"/>
        <w:ind w:firstLine="412" w:firstLineChars="200"/>
        <w:rPr>
          <w:rFonts w:hint="eastAsia" w:ascii="仿宋_GB2312" w:eastAsia="仿宋_GB2312"/>
          <w:color w:val="000000"/>
        </w:rPr>
      </w:pPr>
      <w:r>
        <w:rPr>
          <w:rFonts w:hint="eastAsia" w:ascii="黑体" w:hAnsi="仿宋" w:eastAsia="黑体"/>
          <w:color w:val="000000"/>
          <w:sz w:val="21"/>
          <w:szCs w:val="21"/>
        </w:rPr>
        <w:t>三、对企业两种以上环境违法违规行为、采取两种以上环境行政处罚处理措施进行合并处罚处理，按照记分值最高的类别进行记分。如企业污染物超标排放、闲置污染防治设施，采取罚款10万元和限制生产处罚处理措施进行合并处罚处理，按照限制生产类别进行记分。</w:t>
      </w:r>
    </w:p>
    <w:p>
      <w:pPr>
        <w:spacing w:line="540" w:lineRule="exact"/>
        <w:rPr>
          <w:rFonts w:ascii="仿宋_GB2312" w:eastAsia="仿宋_GB2312"/>
          <w:color w:val="000000"/>
        </w:rPr>
        <w:sectPr>
          <w:footerReference r:id="rId3" w:type="default"/>
          <w:footerReference r:id="rId4" w:type="even"/>
          <w:pgSz w:w="11906" w:h="16838"/>
          <w:pgMar w:top="1985" w:right="1474" w:bottom="1985" w:left="1588" w:header="851" w:footer="1701" w:gutter="0"/>
          <w:cols w:space="425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>—</w:t>
    </w: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6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  <w:r>
      <w:rPr>
        <w:rStyle w:val="5"/>
        <w:rFonts w:hint="eastAsia" w:ascii="仿宋_GB2312" w:eastAsia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A2372"/>
    <w:rsid w:val="461A23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 w:val="21"/>
      <w:szCs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默认段落字体 Para Char Char Char Char Char Char Char"/>
    <w:basedOn w:val="1"/>
    <w:link w:val="3"/>
    <w:uiPriority w:val="0"/>
    <w:rPr>
      <w:sz w:val="21"/>
      <w:szCs w:val="24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2016-11-21T00:55:00Z</dcterms:created>
  <dc:creator>Administrator</dc:creator>
  <cp:lastModifiedBy>Administrator</cp:lastModifiedBy>
  <dcterms:modified xsi:type="dcterms:W3CDTF">2016-11-21T00:55:33Z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