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967E75" w:rsidRPr="00967E75" w:rsidTr="00967E75">
        <w:trPr>
          <w:tblCellSpacing w:w="0" w:type="dxa"/>
        </w:trPr>
        <w:tc>
          <w:tcPr>
            <w:tcW w:w="0" w:type="auto"/>
            <w:vAlign w:val="center"/>
            <w:hideMark/>
          </w:tcPr>
          <w:p w:rsidR="00967E75" w:rsidRDefault="00967E75">
            <w:pPr>
              <w:rPr>
                <w:rFonts w:ascii="Simsun" w:eastAsia="宋体" w:hAnsi="Simsun" w:cs="宋体"/>
                <w:b/>
                <w:bCs/>
                <w:color w:val="DE421E"/>
                <w:kern w:val="0"/>
                <w:sz w:val="33"/>
                <w:szCs w:val="33"/>
              </w:rPr>
            </w:pPr>
            <w:bookmarkStart w:id="0" w:name="_GoBack"/>
            <w:r w:rsidRPr="00967E75">
              <w:rPr>
                <w:rFonts w:ascii="Simsun" w:eastAsia="宋体" w:hAnsi="Simsun" w:cs="宋体"/>
                <w:b/>
                <w:bCs/>
                <w:color w:val="DE421E"/>
                <w:kern w:val="0"/>
                <w:sz w:val="33"/>
                <w:szCs w:val="33"/>
              </w:rPr>
              <w:t>关于城市环境空气质量监测数据统计评价有关规定的通知</w:t>
            </w:r>
            <w:bookmarkEnd w:id="0"/>
          </w:p>
          <w:p w:rsidR="00967E75" w:rsidRDefault="00967E75">
            <w:pPr>
              <w:rPr>
                <w:rFonts w:hint="eastAsia"/>
              </w:rPr>
            </w:pPr>
            <w:proofErr w:type="gramStart"/>
            <w:r w:rsidRPr="00967E75">
              <w:rPr>
                <w:rFonts w:ascii="宋体" w:eastAsia="宋体" w:hAnsi="宋体" w:cs="宋体"/>
                <w:color w:val="333333"/>
                <w:kern w:val="0"/>
                <w:sz w:val="18"/>
                <w:szCs w:val="18"/>
              </w:rPr>
              <w:t>鲁环办</w:t>
            </w:r>
            <w:proofErr w:type="gramEnd"/>
            <w:r w:rsidRPr="00967E75">
              <w:rPr>
                <w:rFonts w:ascii="宋体" w:eastAsia="宋体" w:hAnsi="宋体" w:cs="宋体"/>
                <w:color w:val="333333"/>
                <w:kern w:val="0"/>
                <w:sz w:val="18"/>
                <w:szCs w:val="18"/>
              </w:rPr>
              <w:t>函〔2016〕8号</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67E75" w:rsidRPr="00967E75" w:rsidTr="00967E75">
              <w:trPr>
                <w:tblCellSpacing w:w="0" w:type="dxa"/>
                <w:jc w:val="center"/>
              </w:trPr>
              <w:tc>
                <w:tcPr>
                  <w:tcW w:w="0" w:type="auto"/>
                  <w:vAlign w:val="center"/>
                  <w:hideMark/>
                </w:tcPr>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各市环保局：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按照环境保护部城市环境空气质量排名有关要求，现将城市环境空气质量监测数据统计评价有关规定进一步明确如下。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一、数据统计规定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w:t>
                  </w:r>
                  <w:proofErr w:type="gramStart"/>
                  <w:r w:rsidRPr="00967E75">
                    <w:rPr>
                      <w:rFonts w:ascii="宋体" w:eastAsia="宋体" w:hAnsi="宋体" w:cs="宋体"/>
                      <w:color w:val="333333"/>
                      <w:kern w:val="0"/>
                      <w:szCs w:val="21"/>
                    </w:rPr>
                    <w:t>一</w:t>
                  </w:r>
                  <w:proofErr w:type="gramEnd"/>
                  <w:r w:rsidRPr="00967E75">
                    <w:rPr>
                      <w:rFonts w:ascii="宋体" w:eastAsia="宋体" w:hAnsi="宋体" w:cs="宋体"/>
                      <w:color w:val="333333"/>
                      <w:kern w:val="0"/>
                      <w:szCs w:val="21"/>
                    </w:rPr>
                    <w:t>)计算统计时段内城市SO2、NO2、PM10、PM2.5和CO均值或</w:t>
                  </w:r>
                  <w:proofErr w:type="gramStart"/>
                  <w:r w:rsidRPr="00967E75">
                    <w:rPr>
                      <w:rFonts w:ascii="宋体" w:eastAsia="宋体" w:hAnsi="宋体" w:cs="宋体"/>
                      <w:color w:val="333333"/>
                      <w:kern w:val="0"/>
                      <w:szCs w:val="21"/>
                    </w:rPr>
                    <w:t>特定百</w:t>
                  </w:r>
                  <w:proofErr w:type="gramEnd"/>
                  <w:r w:rsidRPr="00967E75">
                    <w:rPr>
                      <w:rFonts w:ascii="宋体" w:eastAsia="宋体" w:hAnsi="宋体" w:cs="宋体"/>
                      <w:color w:val="333333"/>
                      <w:kern w:val="0"/>
                      <w:szCs w:val="21"/>
                    </w:rPr>
                    <w:t>分位数时，先计算各点位的日均浓度，由各点位的日均浓度算术平均得到城市日均浓度，再由此计算统计时段内城市均值或</w:t>
                  </w:r>
                  <w:proofErr w:type="gramStart"/>
                  <w:r w:rsidRPr="00967E75">
                    <w:rPr>
                      <w:rFonts w:ascii="宋体" w:eastAsia="宋体" w:hAnsi="宋体" w:cs="宋体"/>
                      <w:color w:val="333333"/>
                      <w:kern w:val="0"/>
                      <w:szCs w:val="21"/>
                    </w:rPr>
                    <w:t>特定百</w:t>
                  </w:r>
                  <w:proofErr w:type="gramEnd"/>
                  <w:r w:rsidRPr="00967E75">
                    <w:rPr>
                      <w:rFonts w:ascii="宋体" w:eastAsia="宋体" w:hAnsi="宋体" w:cs="宋体"/>
                      <w:color w:val="333333"/>
                      <w:kern w:val="0"/>
                      <w:szCs w:val="21"/>
                    </w:rPr>
                    <w:t>分位数。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(二)计算统计时段内城市O3日最大8小时平均浓度或</w:t>
                  </w:r>
                  <w:proofErr w:type="gramStart"/>
                  <w:r w:rsidRPr="00967E75">
                    <w:rPr>
                      <w:rFonts w:ascii="宋体" w:eastAsia="宋体" w:hAnsi="宋体" w:cs="宋体"/>
                      <w:color w:val="333333"/>
                      <w:kern w:val="0"/>
                      <w:szCs w:val="21"/>
                    </w:rPr>
                    <w:t>特定百</w:t>
                  </w:r>
                  <w:proofErr w:type="gramEnd"/>
                  <w:r w:rsidRPr="00967E75">
                    <w:rPr>
                      <w:rFonts w:ascii="宋体" w:eastAsia="宋体" w:hAnsi="宋体" w:cs="宋体"/>
                      <w:color w:val="333333"/>
                      <w:kern w:val="0"/>
                      <w:szCs w:val="21"/>
                    </w:rPr>
                    <w:t>分位数时，先计算各点位的O3日最大8小时平均浓度，由各点位的日最大8小时平均浓度算术平均得到城市日最大8小时平均浓度，再由此计算统计时段内城市</w:t>
                  </w:r>
                  <w:proofErr w:type="gramStart"/>
                  <w:r w:rsidRPr="00967E75">
                    <w:rPr>
                      <w:rFonts w:ascii="宋体" w:eastAsia="宋体" w:hAnsi="宋体" w:cs="宋体"/>
                      <w:color w:val="333333"/>
                      <w:kern w:val="0"/>
                      <w:szCs w:val="21"/>
                    </w:rPr>
                    <w:t>特定百</w:t>
                  </w:r>
                  <w:proofErr w:type="gramEnd"/>
                  <w:r w:rsidRPr="00967E75">
                    <w:rPr>
                      <w:rFonts w:ascii="宋体" w:eastAsia="宋体" w:hAnsi="宋体" w:cs="宋体"/>
                      <w:color w:val="333333"/>
                      <w:kern w:val="0"/>
                      <w:szCs w:val="21"/>
                    </w:rPr>
                    <w:t>分位数。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二、数据统计有效性规定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w:t>
                  </w:r>
                  <w:proofErr w:type="gramStart"/>
                  <w:r w:rsidRPr="00967E75">
                    <w:rPr>
                      <w:rFonts w:ascii="宋体" w:eastAsia="宋体" w:hAnsi="宋体" w:cs="宋体"/>
                      <w:color w:val="333333"/>
                      <w:kern w:val="0"/>
                      <w:szCs w:val="21"/>
                    </w:rPr>
                    <w:t>一</w:t>
                  </w:r>
                  <w:proofErr w:type="gramEnd"/>
                  <w:r w:rsidRPr="00967E75">
                    <w:rPr>
                      <w:rFonts w:ascii="宋体" w:eastAsia="宋体" w:hAnsi="宋体" w:cs="宋体"/>
                      <w:color w:val="333333"/>
                      <w:kern w:val="0"/>
                      <w:szCs w:val="21"/>
                    </w:rPr>
                    <w:t>)各评价项目的数据统计有效性要求按照《环境空气质量标准》(GB3095-2012)和《环境空气质量评价技术规定(试行)》(HJ663-2013)中的有关规定执行。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(二)统计评价项目的城市尺度浓度时，城市中国控和省控监测点位必须全部参与统计，且有效监测点位的数量不得低于城市点总数量的75%。监测点位的数量小于4个时，不低于50%。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(三)计算日均浓度时(对于O3需计算日最大8小时平均浓度值)，</w:t>
                  </w:r>
                  <w:proofErr w:type="gramStart"/>
                  <w:r w:rsidRPr="00967E75">
                    <w:rPr>
                      <w:rFonts w:ascii="宋体" w:eastAsia="宋体" w:hAnsi="宋体" w:cs="宋体"/>
                      <w:color w:val="333333"/>
                      <w:kern w:val="0"/>
                      <w:szCs w:val="21"/>
                    </w:rPr>
                    <w:t>各统计</w:t>
                  </w:r>
                  <w:proofErr w:type="gramEnd"/>
                  <w:r w:rsidRPr="00967E75">
                    <w:rPr>
                      <w:rFonts w:ascii="宋体" w:eastAsia="宋体" w:hAnsi="宋体" w:cs="宋体"/>
                      <w:color w:val="333333"/>
                      <w:kern w:val="0"/>
                      <w:szCs w:val="21"/>
                    </w:rPr>
                    <w:t>评价项目每日至少有20个小时平均浓度(对于O3每8小时至少有6小时平均浓度值)。O3日最大8小时平均的有效性规定为当日8时至24时至少有14个有效8小时平均浓度值，当不满足14个有效数据时，若日最大8小时平均浓度超过浓度限值标准时，统计结果仍有效。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(四)计算城市月均浓度、季均浓度、半年浓度和年均浓度时(对于O3需计算评价时段内日最大8小时平均的</w:t>
                  </w:r>
                  <w:proofErr w:type="gramStart"/>
                  <w:r w:rsidRPr="00967E75">
                    <w:rPr>
                      <w:rFonts w:ascii="宋体" w:eastAsia="宋体" w:hAnsi="宋体" w:cs="宋体"/>
                      <w:color w:val="333333"/>
                      <w:kern w:val="0"/>
                      <w:szCs w:val="21"/>
                    </w:rPr>
                    <w:t>特定百</w:t>
                  </w:r>
                  <w:proofErr w:type="gramEnd"/>
                  <w:r w:rsidRPr="00967E75">
                    <w:rPr>
                      <w:rFonts w:ascii="宋体" w:eastAsia="宋体" w:hAnsi="宋体" w:cs="宋体"/>
                      <w:color w:val="333333"/>
                      <w:kern w:val="0"/>
                      <w:szCs w:val="21"/>
                    </w:rPr>
                    <w:t>分位数，CO需计算评价时段内日均值的</w:t>
                  </w:r>
                  <w:proofErr w:type="gramStart"/>
                  <w:r w:rsidRPr="00967E75">
                    <w:rPr>
                      <w:rFonts w:ascii="宋体" w:eastAsia="宋体" w:hAnsi="宋体" w:cs="宋体"/>
                      <w:color w:val="333333"/>
                      <w:kern w:val="0"/>
                      <w:szCs w:val="21"/>
                    </w:rPr>
                    <w:t>特定百</w:t>
                  </w:r>
                  <w:proofErr w:type="gramEnd"/>
                  <w:r w:rsidRPr="00967E75">
                    <w:rPr>
                      <w:rFonts w:ascii="宋体" w:eastAsia="宋体" w:hAnsi="宋体" w:cs="宋体"/>
                      <w:color w:val="333333"/>
                      <w:kern w:val="0"/>
                      <w:szCs w:val="21"/>
                    </w:rPr>
                    <w:t>分位数)，该城市所有有效监测数据必须全部参与统计，每月参与统计的有效城市日均浓度(对于O3为日最大8小时平均浓度)最低不少于27天(二月份不少于25天)，全年参与统计的有效城市日均浓度(对于O3为日最大8小时平均浓度)最低不少于324天。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lastRenderedPageBreak/>
                    <w:t xml:space="preserve">　　(五)计算城市日均浓度时，当任何一项污染物不满足数据有效性规定被判定为无效时，若该项污染物浓度超过二级标准限值，则以城市当日该项污染物浓度最高点位的数据作为城市日均浓度进行统计，若该污染物浓度达标，则仍按</w:t>
                  </w:r>
                  <w:proofErr w:type="gramStart"/>
                  <w:r w:rsidRPr="00967E75">
                    <w:rPr>
                      <w:rFonts w:ascii="宋体" w:eastAsia="宋体" w:hAnsi="宋体" w:cs="宋体"/>
                      <w:color w:val="333333"/>
                      <w:kern w:val="0"/>
                      <w:szCs w:val="21"/>
                    </w:rPr>
                    <w:t>无效值</w:t>
                  </w:r>
                  <w:proofErr w:type="gramEnd"/>
                  <w:r w:rsidRPr="00967E75">
                    <w:rPr>
                      <w:rFonts w:ascii="宋体" w:eastAsia="宋体" w:hAnsi="宋体" w:cs="宋体"/>
                      <w:color w:val="333333"/>
                      <w:kern w:val="0"/>
                      <w:szCs w:val="21"/>
                    </w:rPr>
                    <w:t>处理。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三、</w:t>
                  </w:r>
                  <w:proofErr w:type="gramStart"/>
                  <w:r w:rsidRPr="00967E75">
                    <w:rPr>
                      <w:rFonts w:ascii="宋体" w:eastAsia="宋体" w:hAnsi="宋体" w:cs="宋体"/>
                      <w:color w:val="333333"/>
                      <w:kern w:val="0"/>
                      <w:szCs w:val="21"/>
                    </w:rPr>
                    <w:t>数据修约要求</w:t>
                  </w:r>
                  <w:proofErr w:type="gramEnd"/>
                  <w:r w:rsidRPr="00967E75">
                    <w:rPr>
                      <w:rFonts w:ascii="宋体" w:eastAsia="宋体" w:hAnsi="宋体" w:cs="宋体"/>
                      <w:color w:val="333333"/>
                      <w:kern w:val="0"/>
                      <w:szCs w:val="21"/>
                    </w:rPr>
                    <w:t>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数据统计结果按照《数值修约规则与极限数值的表示和判定》(GB/T 8170)的要求进行修约，浓度单位及保留小数位数要求见表1。各项指标的小时浓度作为基础数据单元，使用前也应进行修约。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w:t>
                  </w:r>
                </w:p>
                <w:p w:rsidR="00967E75" w:rsidRPr="00967E75" w:rsidRDefault="00967E75" w:rsidP="00967E75">
                  <w:pPr>
                    <w:widowControl/>
                    <w:spacing w:before="100" w:beforeAutospacing="1" w:after="100" w:afterAutospacing="1" w:line="390" w:lineRule="atLeast"/>
                    <w:jc w:val="center"/>
                    <w:rPr>
                      <w:rFonts w:ascii="宋体" w:eastAsia="宋体" w:hAnsi="宋体" w:cs="宋体"/>
                      <w:color w:val="333333"/>
                      <w:kern w:val="0"/>
                      <w:sz w:val="24"/>
                      <w:szCs w:val="24"/>
                    </w:rPr>
                  </w:pPr>
                  <w:r w:rsidRPr="00967E75">
                    <w:rPr>
                      <w:rFonts w:ascii="仿宋_GB2312" w:eastAsia="仿宋_GB2312" w:hAnsi="宋体" w:cs="宋体" w:hint="eastAsia"/>
                      <w:color w:val="333333"/>
                      <w:kern w:val="0"/>
                      <w:sz w:val="32"/>
                      <w:szCs w:val="32"/>
                    </w:rPr>
                    <w:t>表1</w:t>
                  </w:r>
                  <w:r w:rsidRPr="00967E75">
                    <w:rPr>
                      <w:rFonts w:ascii="仿宋_GB2312" w:eastAsia="仿宋_GB2312" w:hAnsi="宋体" w:cs="宋体" w:hint="eastAsia"/>
                      <w:color w:val="333333"/>
                      <w:kern w:val="0"/>
                      <w:sz w:val="32"/>
                      <w:szCs w:val="32"/>
                    </w:rPr>
                    <w:t> </w:t>
                  </w:r>
                  <w:r w:rsidRPr="00967E75">
                    <w:rPr>
                      <w:rFonts w:ascii="仿宋_GB2312" w:eastAsia="仿宋_GB2312" w:hAnsi="宋体" w:cs="宋体" w:hint="eastAsia"/>
                      <w:color w:val="333333"/>
                      <w:kern w:val="0"/>
                      <w:sz w:val="32"/>
                      <w:szCs w:val="32"/>
                    </w:rPr>
                    <w:t>指标的浓度单位和保留小数位数要求</w:t>
                  </w:r>
                </w:p>
                <w:tbl>
                  <w:tblPr>
                    <w:tblW w:w="8522" w:type="dxa"/>
                    <w:tblCellMar>
                      <w:top w:w="15" w:type="dxa"/>
                      <w:left w:w="15" w:type="dxa"/>
                      <w:bottom w:w="15" w:type="dxa"/>
                      <w:right w:w="15" w:type="dxa"/>
                    </w:tblCellMar>
                    <w:tblLook w:val="04A0" w:firstRow="1" w:lastRow="0" w:firstColumn="1" w:lastColumn="0" w:noHBand="0" w:noVBand="1"/>
                  </w:tblPr>
                  <w:tblGrid>
                    <w:gridCol w:w="3652"/>
                    <w:gridCol w:w="2029"/>
                    <w:gridCol w:w="2841"/>
                  </w:tblGrid>
                  <w:tr w:rsidR="00967E75" w:rsidRPr="00967E75" w:rsidTr="00967E75">
                    <w:tc>
                      <w:tcPr>
                        <w:tcW w:w="3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指标项目</w:t>
                        </w:r>
                      </w:p>
                    </w:tc>
                    <w:tc>
                      <w:tcPr>
                        <w:tcW w:w="202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单位</w:t>
                        </w:r>
                      </w:p>
                    </w:tc>
                    <w:tc>
                      <w:tcPr>
                        <w:tcW w:w="284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保留小数位数</w:t>
                        </w:r>
                      </w:p>
                    </w:tc>
                  </w:tr>
                  <w:tr w:rsidR="00967E75" w:rsidRPr="00967E75" w:rsidTr="00967E75">
                    <w:tc>
                      <w:tcPr>
                        <w:tcW w:w="365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SO</w:t>
                        </w:r>
                        <w:r w:rsidRPr="00967E75">
                          <w:rPr>
                            <w:rFonts w:ascii="仿宋_GB2312" w:eastAsia="仿宋_GB2312" w:hAnsi="宋体" w:cs="宋体" w:hint="eastAsia"/>
                            <w:kern w:val="0"/>
                            <w:sz w:val="28"/>
                            <w:szCs w:val="28"/>
                            <w:vertAlign w:val="subscript"/>
                          </w:rPr>
                          <w:t>2</w:t>
                        </w:r>
                        <w:r w:rsidRPr="00967E75">
                          <w:rPr>
                            <w:rFonts w:ascii="仿宋_GB2312" w:eastAsia="仿宋_GB2312" w:hAnsi="宋体" w:cs="宋体" w:hint="eastAsia"/>
                            <w:kern w:val="0"/>
                            <w:sz w:val="28"/>
                            <w:szCs w:val="28"/>
                          </w:rPr>
                          <w:t>、NO</w:t>
                        </w:r>
                        <w:r w:rsidRPr="00967E75">
                          <w:rPr>
                            <w:rFonts w:ascii="仿宋_GB2312" w:eastAsia="仿宋_GB2312" w:hAnsi="宋体" w:cs="宋体" w:hint="eastAsia"/>
                            <w:kern w:val="0"/>
                            <w:sz w:val="28"/>
                            <w:szCs w:val="28"/>
                            <w:vertAlign w:val="subscript"/>
                          </w:rPr>
                          <w:t>2</w:t>
                        </w:r>
                        <w:r w:rsidRPr="00967E75">
                          <w:rPr>
                            <w:rFonts w:ascii="仿宋_GB2312" w:eastAsia="仿宋_GB2312" w:hAnsi="宋体" w:cs="宋体" w:hint="eastAsia"/>
                            <w:kern w:val="0"/>
                            <w:sz w:val="28"/>
                            <w:szCs w:val="28"/>
                          </w:rPr>
                          <w:t>、PM</w:t>
                        </w:r>
                        <w:r w:rsidRPr="00967E75">
                          <w:rPr>
                            <w:rFonts w:ascii="仿宋_GB2312" w:eastAsia="仿宋_GB2312" w:hAnsi="宋体" w:cs="宋体" w:hint="eastAsia"/>
                            <w:kern w:val="0"/>
                            <w:sz w:val="28"/>
                            <w:szCs w:val="28"/>
                            <w:vertAlign w:val="subscript"/>
                          </w:rPr>
                          <w:t>10</w:t>
                        </w:r>
                        <w:r w:rsidRPr="00967E75">
                          <w:rPr>
                            <w:rFonts w:ascii="仿宋_GB2312" w:eastAsia="仿宋_GB2312" w:hAnsi="宋体" w:cs="宋体" w:hint="eastAsia"/>
                            <w:kern w:val="0"/>
                            <w:sz w:val="28"/>
                            <w:szCs w:val="28"/>
                          </w:rPr>
                          <w:t>、PM</w:t>
                        </w:r>
                        <w:r w:rsidRPr="00967E75">
                          <w:rPr>
                            <w:rFonts w:ascii="仿宋_GB2312" w:eastAsia="仿宋_GB2312" w:hAnsi="宋体" w:cs="宋体" w:hint="eastAsia"/>
                            <w:kern w:val="0"/>
                            <w:sz w:val="28"/>
                            <w:szCs w:val="28"/>
                            <w:vertAlign w:val="subscript"/>
                          </w:rPr>
                          <w:t>2.5</w:t>
                        </w:r>
                        <w:r w:rsidRPr="00967E75">
                          <w:rPr>
                            <w:rFonts w:ascii="仿宋_GB2312" w:eastAsia="仿宋_GB2312" w:hAnsi="宋体" w:cs="宋体" w:hint="eastAsia"/>
                            <w:kern w:val="0"/>
                            <w:sz w:val="28"/>
                            <w:szCs w:val="28"/>
                          </w:rPr>
                          <w:t>、O</w:t>
                        </w:r>
                        <w:r w:rsidRPr="00967E75">
                          <w:rPr>
                            <w:rFonts w:ascii="仿宋_GB2312" w:eastAsia="仿宋_GB2312" w:hAnsi="宋体" w:cs="宋体" w:hint="eastAsia"/>
                            <w:kern w:val="0"/>
                            <w:sz w:val="28"/>
                            <w:szCs w:val="28"/>
                            <w:vertAlign w:val="subscript"/>
                          </w:rPr>
                          <w:t>3</w:t>
                        </w:r>
                      </w:p>
                    </w:tc>
                    <w:tc>
                      <w:tcPr>
                        <w:tcW w:w="20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μg/m</w:t>
                        </w:r>
                        <w:r w:rsidRPr="00967E75">
                          <w:rPr>
                            <w:rFonts w:ascii="仿宋_GB2312" w:eastAsia="仿宋_GB2312" w:hAnsi="宋体" w:cs="宋体" w:hint="eastAsia"/>
                            <w:kern w:val="0"/>
                            <w:sz w:val="28"/>
                            <w:szCs w:val="28"/>
                            <w:vertAlign w:val="superscript"/>
                          </w:rPr>
                          <w:t>3</w:t>
                        </w:r>
                      </w:p>
                    </w:tc>
                    <w:tc>
                      <w:tcPr>
                        <w:tcW w:w="28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0</w:t>
                        </w:r>
                      </w:p>
                    </w:tc>
                  </w:tr>
                  <w:tr w:rsidR="00967E75" w:rsidRPr="00967E75" w:rsidTr="00967E75">
                    <w:tc>
                      <w:tcPr>
                        <w:tcW w:w="3652"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CO</w:t>
                        </w:r>
                      </w:p>
                    </w:tc>
                    <w:tc>
                      <w:tcPr>
                        <w:tcW w:w="202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mg/m</w:t>
                        </w:r>
                        <w:r w:rsidRPr="00967E75">
                          <w:rPr>
                            <w:rFonts w:ascii="仿宋_GB2312" w:eastAsia="仿宋_GB2312" w:hAnsi="宋体" w:cs="宋体" w:hint="eastAsia"/>
                            <w:kern w:val="0"/>
                            <w:sz w:val="28"/>
                            <w:szCs w:val="28"/>
                            <w:vertAlign w:val="superscript"/>
                          </w:rPr>
                          <w:t>3</w:t>
                        </w:r>
                      </w:p>
                    </w:tc>
                    <w:tc>
                      <w:tcPr>
                        <w:tcW w:w="28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67E75" w:rsidRPr="00967E75" w:rsidRDefault="00967E75" w:rsidP="00967E75">
                        <w:pPr>
                          <w:widowControl/>
                          <w:spacing w:before="100" w:beforeAutospacing="1" w:after="100" w:afterAutospacing="1"/>
                          <w:jc w:val="center"/>
                          <w:rPr>
                            <w:rFonts w:ascii="宋体" w:eastAsia="宋体" w:hAnsi="宋体" w:cs="宋体"/>
                            <w:kern w:val="0"/>
                            <w:sz w:val="24"/>
                            <w:szCs w:val="24"/>
                          </w:rPr>
                        </w:pPr>
                        <w:r w:rsidRPr="00967E75">
                          <w:rPr>
                            <w:rFonts w:ascii="仿宋_GB2312" w:eastAsia="仿宋_GB2312" w:hAnsi="宋体" w:cs="宋体" w:hint="eastAsia"/>
                            <w:kern w:val="0"/>
                            <w:sz w:val="28"/>
                            <w:szCs w:val="28"/>
                          </w:rPr>
                          <w:t>1</w:t>
                        </w:r>
                      </w:p>
                    </w:tc>
                  </w:tr>
                </w:tbl>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四、有关说明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w:t>
                  </w:r>
                  <w:proofErr w:type="gramStart"/>
                  <w:r w:rsidRPr="00967E75">
                    <w:rPr>
                      <w:rFonts w:ascii="宋体" w:eastAsia="宋体" w:hAnsi="宋体" w:cs="宋体"/>
                      <w:color w:val="333333"/>
                      <w:kern w:val="0"/>
                      <w:szCs w:val="21"/>
                    </w:rPr>
                    <w:t>一</w:t>
                  </w:r>
                  <w:proofErr w:type="gramEnd"/>
                  <w:r w:rsidRPr="00967E75">
                    <w:rPr>
                      <w:rFonts w:ascii="宋体" w:eastAsia="宋体" w:hAnsi="宋体" w:cs="宋体"/>
                      <w:color w:val="333333"/>
                      <w:kern w:val="0"/>
                      <w:szCs w:val="21"/>
                    </w:rPr>
                    <w:t>)“当任何一项污染物不满足有效性规定且任何一项污染物浓度超过二级标准限值时，以城市当日污染物浓度最高点位的数据，统计该市当日污染物浓度并进行排名”，是指以最高点位的数据代替该城市日均值。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(二)当任何一项污染物优于二级标准限值且有效数据量不足时，该市当日数据做无效数据处理。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(三)数据统计范围包括停运站点。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山东省环境保护厅办公室 </w:t>
                  </w:r>
                </w:p>
                <w:p w:rsidR="00967E75" w:rsidRPr="00967E75" w:rsidRDefault="00967E75" w:rsidP="00967E75">
                  <w:pPr>
                    <w:widowControl/>
                    <w:spacing w:before="100" w:beforeAutospacing="1" w:after="100" w:afterAutospacing="1" w:line="390" w:lineRule="atLeast"/>
                    <w:jc w:val="left"/>
                    <w:rPr>
                      <w:rFonts w:ascii="宋体" w:eastAsia="宋体" w:hAnsi="宋体" w:cs="宋体"/>
                      <w:color w:val="333333"/>
                      <w:kern w:val="0"/>
                      <w:szCs w:val="21"/>
                    </w:rPr>
                  </w:pPr>
                  <w:r w:rsidRPr="00967E75">
                    <w:rPr>
                      <w:rFonts w:ascii="宋体" w:eastAsia="宋体" w:hAnsi="宋体" w:cs="宋体"/>
                      <w:color w:val="333333"/>
                      <w:kern w:val="0"/>
                      <w:szCs w:val="21"/>
                    </w:rPr>
                    <w:t xml:space="preserve">　　2016年1月26日 </w:t>
                  </w:r>
                </w:p>
              </w:tc>
            </w:tr>
          </w:tbl>
          <w:p w:rsidR="00967E75" w:rsidRPr="00967E75" w:rsidRDefault="00967E75" w:rsidP="00967E75">
            <w:pPr>
              <w:widowControl/>
              <w:jc w:val="left"/>
              <w:rPr>
                <w:rFonts w:ascii="Simsun" w:eastAsia="宋体" w:hAnsi="Simsun" w:cs="宋体"/>
                <w:color w:val="000000"/>
                <w:kern w:val="0"/>
                <w:sz w:val="27"/>
                <w:szCs w:val="27"/>
              </w:rPr>
            </w:pPr>
          </w:p>
        </w:tc>
      </w:tr>
    </w:tbl>
    <w:p w:rsidR="00F97DAB" w:rsidRDefault="00F97DAB">
      <w:pPr>
        <w:rPr>
          <w:rFonts w:hint="eastAsia"/>
        </w:rPr>
      </w:pPr>
    </w:p>
    <w:sectPr w:rsidR="00F97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BC"/>
    <w:rsid w:val="002758BC"/>
    <w:rsid w:val="002B43CF"/>
    <w:rsid w:val="00967E75"/>
    <w:rsid w:val="00F9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7D8E-6A86-4195-BC27-8D7920C2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7E75"/>
    <w:rPr>
      <w:b/>
      <w:bCs/>
    </w:rPr>
  </w:style>
  <w:style w:type="character" w:customStyle="1" w:styleId="graytext12">
    <w:name w:val="gray_text12"/>
    <w:basedOn w:val="a0"/>
    <w:rsid w:val="00967E75"/>
  </w:style>
  <w:style w:type="paragraph" w:styleId="a4">
    <w:name w:val="Normal (Web)"/>
    <w:basedOn w:val="a"/>
    <w:uiPriority w:val="99"/>
    <w:semiHidden/>
    <w:unhideWhenUsed/>
    <w:rsid w:val="00967E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44277">
      <w:bodyDiv w:val="1"/>
      <w:marLeft w:val="0"/>
      <w:marRight w:val="0"/>
      <w:marTop w:val="0"/>
      <w:marBottom w:val="0"/>
      <w:divBdr>
        <w:top w:val="none" w:sz="0" w:space="0" w:color="auto"/>
        <w:left w:val="none" w:sz="0" w:space="0" w:color="auto"/>
        <w:bottom w:val="none" w:sz="0" w:space="0" w:color="auto"/>
        <w:right w:val="none" w:sz="0" w:space="0" w:color="auto"/>
      </w:divBdr>
      <w:divsChild>
        <w:div w:id="89361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3</cp:revision>
  <dcterms:created xsi:type="dcterms:W3CDTF">2016-02-14T08:14:00Z</dcterms:created>
  <dcterms:modified xsi:type="dcterms:W3CDTF">2016-02-14T08:15:00Z</dcterms:modified>
</cp:coreProperties>
</file>