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0D" w:rsidRDefault="00564628">
      <w:pPr>
        <w:spacing w:after="404" w:line="259" w:lineRule="auto"/>
        <w:ind w:left="6090" w:right="-6" w:firstLine="0"/>
      </w:pPr>
      <w:r>
        <w:rPr>
          <w:noProof/>
        </w:rPr>
        <w:drawing>
          <wp:inline distT="0" distB="0" distL="0" distR="0">
            <wp:extent cx="1517650" cy="79248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1517650" cy="792480"/>
                    </a:xfrm>
                    <a:prstGeom prst="rect">
                      <a:avLst/>
                    </a:prstGeom>
                  </pic:spPr>
                </pic:pic>
              </a:graphicData>
            </a:graphic>
          </wp:inline>
        </w:drawing>
      </w:r>
    </w:p>
    <w:p w:rsidR="00C5460D" w:rsidRDefault="00564628">
      <w:pPr>
        <w:spacing w:after="110" w:line="259" w:lineRule="auto"/>
        <w:ind w:left="0" w:firstLine="0"/>
      </w:pPr>
      <w:r>
        <w:rPr>
          <w:sz w:val="44"/>
        </w:rPr>
        <w:t>中华人民共和国国家标准</w:t>
      </w:r>
    </w:p>
    <w:p w:rsidR="00C5460D" w:rsidRDefault="00564628">
      <w:pPr>
        <w:spacing w:after="0" w:line="240" w:lineRule="auto"/>
        <w:ind w:left="6398" w:hanging="132"/>
      </w:pPr>
      <w:r>
        <w:rPr>
          <w:rFonts w:ascii="Times New Roman" w:eastAsia="Times New Roman" w:hAnsi="Times New Roman" w:cs="Times New Roman"/>
          <w:b/>
          <w:sz w:val="28"/>
        </w:rPr>
        <w:t xml:space="preserve">GB/T 15190–2014 </w:t>
      </w:r>
      <w:r>
        <w:rPr>
          <w:sz w:val="24"/>
        </w:rPr>
        <w:t>代替</w:t>
      </w:r>
      <w:r>
        <w:rPr>
          <w:rFonts w:ascii="Times New Roman" w:eastAsia="Times New Roman" w:hAnsi="Times New Roman" w:cs="Times New Roman"/>
          <w:sz w:val="24"/>
        </w:rPr>
        <w:t>GB/T 15190-94</w:t>
      </w:r>
    </w:p>
    <w:p w:rsidR="00C5460D" w:rsidRDefault="00564628">
      <w:pPr>
        <w:spacing w:after="1454" w:line="259" w:lineRule="auto"/>
        <w:ind w:left="105" w:firstLine="0"/>
      </w:pPr>
      <w:r>
        <w:rPr>
          <w:rFonts w:ascii="Calibri" w:eastAsia="Calibri" w:hAnsi="Calibri" w:cs="Calibri"/>
          <w:noProof/>
          <w:sz w:val="22"/>
        </w:rPr>
        <mc:AlternateContent>
          <mc:Choice Requires="wpg">
            <w:drawing>
              <wp:inline distT="0" distB="0" distL="0" distR="0">
                <wp:extent cx="5267327" cy="13336"/>
                <wp:effectExtent l="0" t="0" r="0" b="0"/>
                <wp:docPr id="5057" name="Group 5057"/>
                <wp:cNvGraphicFramePr/>
                <a:graphic xmlns:a="http://schemas.openxmlformats.org/drawingml/2006/main">
                  <a:graphicData uri="http://schemas.microsoft.com/office/word/2010/wordprocessingGroup">
                    <wpg:wgp>
                      <wpg:cNvGrpSpPr/>
                      <wpg:grpSpPr>
                        <a:xfrm>
                          <a:off x="0" y="0"/>
                          <a:ext cx="5267327" cy="13336"/>
                          <a:chOff x="0" y="0"/>
                          <a:chExt cx="5267327" cy="13336"/>
                        </a:xfrm>
                      </wpg:grpSpPr>
                      <wps:wsp>
                        <wps:cNvPr id="28" name="Shape 28"/>
                        <wps:cNvSpPr/>
                        <wps:spPr>
                          <a:xfrm>
                            <a:off x="0" y="0"/>
                            <a:ext cx="5267327" cy="13336"/>
                          </a:xfrm>
                          <a:custGeom>
                            <a:avLst/>
                            <a:gdLst/>
                            <a:ahLst/>
                            <a:cxnLst/>
                            <a:rect l="0" t="0" r="0" b="0"/>
                            <a:pathLst>
                              <a:path w="5267327" h="13336">
                                <a:moveTo>
                                  <a:pt x="3" y="0"/>
                                </a:moveTo>
                                <a:lnTo>
                                  <a:pt x="5267327" y="636"/>
                                </a:lnTo>
                                <a:lnTo>
                                  <a:pt x="5267327" y="13336"/>
                                </a:lnTo>
                                <a:lnTo>
                                  <a:pt x="0" y="12700"/>
                                </a:lnTo>
                                <a:lnTo>
                                  <a:pt x="3" y="0"/>
                                </a:lnTo>
                                <a:close/>
                              </a:path>
                            </a:pathLst>
                          </a:custGeom>
                          <a:ln w="0" cap="sq">
                            <a:bevel/>
                          </a:ln>
                        </wps:spPr>
                        <wps:style>
                          <a:lnRef idx="0">
                            <a:srgbClr val="000000">
                              <a:alpha val="0"/>
                            </a:srgbClr>
                          </a:lnRef>
                          <a:fillRef idx="1">
                            <a:srgbClr val="080000"/>
                          </a:fillRef>
                          <a:effectRef idx="0">
                            <a:scrgbClr r="0" g="0" b="0"/>
                          </a:effectRef>
                          <a:fontRef idx="none"/>
                        </wps:style>
                        <wps:bodyPr/>
                      </wps:wsp>
                    </wpg:wgp>
                  </a:graphicData>
                </a:graphic>
              </wp:inline>
            </w:drawing>
          </mc:Choice>
          <mc:Fallback>
            <w:pict>
              <v:group w14:anchorId="45EC46A2" id="Group 5057" o:spid="_x0000_s1026" style="width:414.75pt;height:1.05pt;mso-position-horizontal-relative:char;mso-position-vertical-relative:line" coordsize="5267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">
                <v:shape id="Shape 28" o:spid="_x0000_s1027" style="position:absolute;width:52673;height:133;visibility:visible;mso-wrap-style:square;v-text-anchor:top" coordsize="5267327,13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z8MA&#10;AADbAAAADwAAAGRycy9kb3ducmV2LnhtbERPTWvCQBC9F/oflil4azaNJZToKq2geLBC0lx6G7Jj&#10;EpqdjdlVk/767kHo8fG+l+vRdOJKg2stK3iJYhDEldUt1wrKr+3zGwjnkTV2lknBRA7Wq8eHJWba&#10;3jina+FrEULYZaig8b7PpHRVQwZdZHviwJ3sYNAHONRSD3gL4aaTSRyn0mDLoaHBnjYNVT/FxSiY&#10;/77m+TmJ99/pbuTD8UOX1fSp1OxpfF+A8DT6f/HdvdcKkjA2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i/z8MAAADbAAAADwAAAAAAAAAAAAAAAACYAgAAZHJzL2Rv&#10;d25yZXYueG1sUEsFBgAAAAAEAAQA9QAAAIgDAAAAAA==&#10;" path="m3,l5267327,636r,12700l,12700,3,xe" fillcolor="#080000" stroked="f" strokeweight="0">
                  <v:stroke joinstyle="bevel" endcap="square"/>
                  <v:path arrowok="t" textboxrect="0,0,5267327,13336"/>
                </v:shape>
                <w10:anchorlock/>
              </v:group>
            </w:pict>
          </mc:Fallback>
        </mc:AlternateContent>
      </w:r>
    </w:p>
    <w:p w:rsidR="00C5460D" w:rsidRDefault="00564628">
      <w:pPr>
        <w:spacing w:after="0" w:line="259" w:lineRule="auto"/>
        <w:ind w:left="32" w:firstLine="0"/>
        <w:jc w:val="center"/>
      </w:pPr>
      <w:r>
        <w:rPr>
          <w:rFonts w:ascii="黑体" w:eastAsia="黑体" w:hAnsi="黑体" w:cs="黑体"/>
          <w:sz w:val="44"/>
        </w:rPr>
        <w:t>声环境功能区划分技术规范</w:t>
      </w:r>
    </w:p>
    <w:p w:rsidR="00C5460D" w:rsidRDefault="00564628">
      <w:pPr>
        <w:spacing w:after="227"/>
        <w:ind w:left="182" w:right="142"/>
        <w:jc w:val="center"/>
      </w:pPr>
      <w:r>
        <w:rPr>
          <w:rFonts w:ascii="黑体" w:eastAsia="黑体" w:hAnsi="黑体" w:cs="黑体"/>
          <w:sz w:val="28"/>
        </w:rPr>
        <w:t xml:space="preserve">Technical Specifications </w:t>
      </w:r>
      <w:proofErr w:type="gramStart"/>
      <w:r>
        <w:rPr>
          <w:rFonts w:ascii="黑体" w:eastAsia="黑体" w:hAnsi="黑体" w:cs="黑体"/>
          <w:sz w:val="28"/>
        </w:rPr>
        <w:t>For</w:t>
      </w:r>
      <w:proofErr w:type="gramEnd"/>
      <w:r>
        <w:rPr>
          <w:rFonts w:ascii="黑体" w:eastAsia="黑体" w:hAnsi="黑体" w:cs="黑体"/>
          <w:sz w:val="28"/>
        </w:rPr>
        <w:t xml:space="preserve"> Regionalizing</w:t>
      </w:r>
    </w:p>
    <w:p w:rsidR="00C5460D" w:rsidRDefault="00564628">
      <w:pPr>
        <w:spacing w:after="553"/>
        <w:ind w:left="182"/>
        <w:jc w:val="center"/>
      </w:pPr>
      <w:r>
        <w:rPr>
          <w:rFonts w:ascii="黑体" w:eastAsia="黑体" w:hAnsi="黑体" w:cs="黑体"/>
          <w:sz w:val="28"/>
        </w:rPr>
        <w:t>Environmental Noise Function</w:t>
      </w:r>
    </w:p>
    <w:p w:rsidR="00C5460D" w:rsidRDefault="00564628">
      <w:pPr>
        <w:spacing w:after="443"/>
        <w:ind w:left="182" w:right="140"/>
        <w:jc w:val="center"/>
      </w:pPr>
      <w:r>
        <w:rPr>
          <w:rFonts w:ascii="黑体" w:eastAsia="黑体" w:hAnsi="黑体" w:cs="黑体"/>
          <w:sz w:val="28"/>
        </w:rPr>
        <w:t>（发布稿）</w:t>
      </w:r>
    </w:p>
    <w:p w:rsidR="00C5460D" w:rsidRDefault="00564628">
      <w:pPr>
        <w:spacing w:after="3526" w:line="259" w:lineRule="auto"/>
        <w:ind w:left="30" w:firstLine="0"/>
        <w:jc w:val="center"/>
      </w:pPr>
      <w:r>
        <w:rPr>
          <w:rFonts w:ascii="黑体" w:eastAsia="黑体" w:hAnsi="黑体" w:cs="黑体"/>
        </w:rPr>
        <w:t>本电子版</w:t>
      </w:r>
      <w:proofErr w:type="gramStart"/>
      <w:r>
        <w:rPr>
          <w:rFonts w:ascii="黑体" w:eastAsia="黑体" w:hAnsi="黑体" w:cs="黑体"/>
        </w:rPr>
        <w:t>为发布</w:t>
      </w:r>
      <w:proofErr w:type="gramEnd"/>
      <w:r>
        <w:rPr>
          <w:rFonts w:ascii="黑体" w:eastAsia="黑体" w:hAnsi="黑体" w:cs="黑体"/>
        </w:rPr>
        <w:t>稿。请以中国环境科学出版社出版的正式标准文本为准。</w:t>
      </w:r>
    </w:p>
    <w:p w:rsidR="00C5460D" w:rsidRDefault="00564628">
      <w:pPr>
        <w:tabs>
          <w:tab w:val="right" w:pos="8474"/>
        </w:tabs>
        <w:spacing w:after="0" w:line="259" w:lineRule="auto"/>
        <w:ind w:left="0" w:firstLine="0"/>
      </w:pPr>
      <w:r>
        <w:rPr>
          <w:rFonts w:ascii="Times New Roman" w:eastAsia="Times New Roman" w:hAnsi="Times New Roman" w:cs="Times New Roman"/>
          <w:sz w:val="30"/>
        </w:rPr>
        <w:t xml:space="preserve">2014-12-02 </w:t>
      </w:r>
      <w:r>
        <w:rPr>
          <w:rFonts w:ascii="黑体" w:eastAsia="黑体" w:hAnsi="黑体" w:cs="黑体"/>
          <w:sz w:val="28"/>
        </w:rPr>
        <w:t>发布</w:t>
      </w:r>
      <w:r>
        <w:rPr>
          <w:rFonts w:ascii="黑体" w:eastAsia="黑体" w:hAnsi="黑体" w:cs="黑体"/>
          <w:sz w:val="28"/>
        </w:rPr>
        <w:tab/>
      </w:r>
      <w:r>
        <w:rPr>
          <w:rFonts w:ascii="Times New Roman" w:eastAsia="Times New Roman" w:hAnsi="Times New Roman" w:cs="Times New Roman"/>
          <w:sz w:val="30"/>
        </w:rPr>
        <w:t xml:space="preserve">2015-01-01 </w:t>
      </w:r>
      <w:r>
        <w:rPr>
          <w:rFonts w:ascii="黑体" w:eastAsia="黑体" w:hAnsi="黑体" w:cs="黑体"/>
          <w:sz w:val="28"/>
        </w:rPr>
        <w:t>实施</w:t>
      </w:r>
    </w:p>
    <w:p w:rsidR="00C5460D" w:rsidRDefault="00564628">
      <w:pPr>
        <w:spacing w:after="417" w:line="259" w:lineRule="auto"/>
        <w:ind w:left="108" w:firstLine="0"/>
      </w:pPr>
      <w:r>
        <w:rPr>
          <w:rFonts w:ascii="Calibri" w:eastAsia="Calibri" w:hAnsi="Calibri" w:cs="Calibri"/>
          <w:noProof/>
          <w:sz w:val="22"/>
        </w:rPr>
        <mc:AlternateContent>
          <mc:Choice Requires="wpg">
            <w:drawing>
              <wp:inline distT="0" distB="0" distL="0" distR="0">
                <wp:extent cx="5267326" cy="13335"/>
                <wp:effectExtent l="0" t="0" r="0" b="0"/>
                <wp:docPr id="5059" name="Group 5059"/>
                <wp:cNvGraphicFramePr/>
                <a:graphic xmlns:a="http://schemas.openxmlformats.org/drawingml/2006/main">
                  <a:graphicData uri="http://schemas.microsoft.com/office/word/2010/wordprocessingGroup">
                    <wpg:wgp>
                      <wpg:cNvGrpSpPr/>
                      <wpg:grpSpPr>
                        <a:xfrm>
                          <a:off x="0" y="0"/>
                          <a:ext cx="5267326" cy="13335"/>
                          <a:chOff x="0" y="0"/>
                          <a:chExt cx="5267326" cy="13335"/>
                        </a:xfrm>
                      </wpg:grpSpPr>
                      <wps:wsp>
                        <wps:cNvPr id="51" name="Shape 51"/>
                        <wps:cNvSpPr/>
                        <wps:spPr>
                          <a:xfrm>
                            <a:off x="0" y="0"/>
                            <a:ext cx="5267326" cy="13335"/>
                          </a:xfrm>
                          <a:custGeom>
                            <a:avLst/>
                            <a:gdLst/>
                            <a:ahLst/>
                            <a:cxnLst/>
                            <a:rect l="0" t="0" r="0" b="0"/>
                            <a:pathLst>
                              <a:path w="5267326" h="13335">
                                <a:moveTo>
                                  <a:pt x="3" y="0"/>
                                </a:moveTo>
                                <a:lnTo>
                                  <a:pt x="5267326" y="635"/>
                                </a:lnTo>
                                <a:lnTo>
                                  <a:pt x="5267326" y="13335"/>
                                </a:lnTo>
                                <a:lnTo>
                                  <a:pt x="0" y="12700"/>
                                </a:lnTo>
                                <a:lnTo>
                                  <a:pt x="3" y="0"/>
                                </a:lnTo>
                                <a:close/>
                              </a:path>
                            </a:pathLst>
                          </a:custGeom>
                          <a:ln w="0" cap="sq">
                            <a:bevel/>
                          </a:ln>
                        </wps:spPr>
                        <wps:style>
                          <a:lnRef idx="0">
                            <a:srgbClr val="000000">
                              <a:alpha val="0"/>
                            </a:srgbClr>
                          </a:lnRef>
                          <a:fillRef idx="1">
                            <a:srgbClr val="080000"/>
                          </a:fillRef>
                          <a:effectRef idx="0">
                            <a:scrgbClr r="0" g="0" b="0"/>
                          </a:effectRef>
                          <a:fontRef idx="none"/>
                        </wps:style>
                        <wps:bodyPr/>
                      </wps:wsp>
                    </wpg:wgp>
                  </a:graphicData>
                </a:graphic>
              </wp:inline>
            </w:drawing>
          </mc:Choice>
          <mc:Fallback>
            <w:pict>
              <v:group w14:anchorId="5D96A8F8" id="Group 5059" o:spid="_x0000_s1026" style="width:414.75pt;height:1.05pt;mso-position-horizontal-relative:char;mso-position-vertical-relative:line" coordsize="5267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">
                <v:shape id="Shape 51" o:spid="_x0000_s1027" style="position:absolute;width:52673;height:133;visibility:visible;mso-wrap-style:square;v-text-anchor:top" coordsize="5267326,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m2sUA&#10;AADbAAAADwAAAGRycy9kb3ducmV2LnhtbESPQWvCQBSE7wX/w/KE3upGSYvErCLFVvFUbUvx9sw+&#10;k9js2zS7NfHfu4LgcZiZb5h01plKnKhxpWUFw0EEgjizuuRcwdfn29MYhPPIGivLpOBMDmbT3kOK&#10;ibYtb+i09bkIEHYJKii8rxMpXVaQQTewNXHwDrYx6INscqkbbAPcVHIURS/SYMlhocCaXgvKfrf/&#10;RsH3rj3GdbZ//2jdOv6LF8sVrn+Ueux38wkIT52/h2/tlVbwPITrl/A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CbaxQAAANsAAAAPAAAAAAAAAAAAAAAAAJgCAABkcnMv&#10;ZG93bnJldi54bWxQSwUGAAAAAAQABAD1AAAAigMAAAAA&#10;" path="m3,l5267326,635r,12700l,12700,3,xe" fillcolor="#080000" stroked="f" strokeweight="0">
                  <v:stroke joinstyle="bevel" endcap="square"/>
                  <v:path arrowok="t" textboxrect="0,0,5267326,13335"/>
                </v:shape>
                <w10:anchorlock/>
              </v:group>
            </w:pict>
          </mc:Fallback>
        </mc:AlternateContent>
      </w:r>
    </w:p>
    <w:p w:rsidR="00C5460D" w:rsidRDefault="00564628">
      <w:pPr>
        <w:spacing w:after="41" w:line="216" w:lineRule="auto"/>
        <w:ind w:left="492" w:right="431" w:firstLine="0"/>
        <w:jc w:val="right"/>
      </w:pPr>
      <w:r>
        <w:rPr>
          <w:sz w:val="36"/>
        </w:rPr>
        <w:t>环 境 保 护 部</w:t>
      </w:r>
      <w:r>
        <w:rPr>
          <w:rFonts w:ascii="黑体" w:eastAsia="黑体" w:hAnsi="黑体" w:cs="黑体"/>
          <w:sz w:val="28"/>
        </w:rPr>
        <w:t>发布</w:t>
      </w:r>
    </w:p>
    <w:p w:rsidR="00C5460D" w:rsidRDefault="00564628">
      <w:pPr>
        <w:spacing w:after="0" w:line="259" w:lineRule="auto"/>
        <w:ind w:left="0" w:right="87" w:firstLine="0"/>
        <w:jc w:val="center"/>
      </w:pPr>
      <w:r>
        <w:rPr>
          <w:sz w:val="36"/>
        </w:rPr>
        <w:t>国家质量监督检验检疫总局</w:t>
      </w:r>
    </w:p>
    <w:p w:rsidR="00C5460D" w:rsidRDefault="00564628">
      <w:pPr>
        <w:spacing w:after="874"/>
        <w:ind w:left="59"/>
        <w:jc w:val="center"/>
      </w:pPr>
      <w:r>
        <w:rPr>
          <w:rFonts w:ascii="黑体" w:eastAsia="黑体" w:hAnsi="黑体" w:cs="黑体"/>
          <w:sz w:val="32"/>
        </w:rPr>
        <w:t>目 次</w:t>
      </w:r>
    </w:p>
    <w:sdt>
      <w:sdtPr>
        <w:rPr>
          <w:rFonts w:ascii="宋体" w:eastAsia="宋体" w:hAnsi="宋体" w:cs="宋体"/>
        </w:rPr>
        <w:id w:val="203304081"/>
        <w:docPartObj>
          <w:docPartGallery w:val="Table of Contents"/>
        </w:docPartObj>
      </w:sdtPr>
      <w:sdtEndPr/>
      <w:sdtContent>
        <w:p w:rsidR="0089597C" w:rsidRDefault="00564628" w:rsidP="0089597C">
          <w:pPr>
            <w:pStyle w:val="10"/>
            <w:tabs>
              <w:tab w:val="right" w:leader="dot" w:pos="8464"/>
            </w:tabs>
            <w:spacing w:after="0" w:line="240" w:lineRule="auto"/>
            <w:ind w:left="0" w:right="0" w:hanging="11"/>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406153795" w:history="1">
            <w:r w:rsidR="0089597C" w:rsidRPr="003E737E">
              <w:rPr>
                <w:rStyle w:val="a3"/>
                <w:rFonts w:ascii="宋体" w:eastAsia="宋体" w:hAnsi="宋体" w:cs="宋体" w:hint="eastAsia"/>
                <w:noProof/>
              </w:rPr>
              <w:t>前</w:t>
            </w:r>
            <w:r w:rsidR="0089597C" w:rsidRPr="003E737E">
              <w:rPr>
                <w:rStyle w:val="a3"/>
                <w:noProof/>
              </w:rPr>
              <w:t xml:space="preserve"> </w:t>
            </w:r>
            <w:r w:rsidR="0089597C" w:rsidRPr="003E737E">
              <w:rPr>
                <w:rStyle w:val="a3"/>
                <w:rFonts w:ascii="宋体" w:eastAsia="宋体" w:hAnsi="宋体" w:cs="宋体" w:hint="eastAsia"/>
                <w:noProof/>
              </w:rPr>
              <w:t>言</w:t>
            </w:r>
            <w:r w:rsidR="0089597C">
              <w:rPr>
                <w:noProof/>
                <w:webHidden/>
              </w:rPr>
              <w:tab/>
            </w:r>
            <w:r w:rsidR="0089597C">
              <w:rPr>
                <w:noProof/>
                <w:webHidden/>
              </w:rPr>
              <w:fldChar w:fldCharType="begin"/>
            </w:r>
            <w:r w:rsidR="0089597C">
              <w:rPr>
                <w:noProof/>
                <w:webHidden/>
              </w:rPr>
              <w:instrText xml:space="preserve"> PAGEREF _Toc406153795 \h </w:instrText>
            </w:r>
            <w:r w:rsidR="0089597C">
              <w:rPr>
                <w:noProof/>
                <w:webHidden/>
              </w:rPr>
            </w:r>
            <w:r w:rsidR="0089597C">
              <w:rPr>
                <w:noProof/>
                <w:webHidden/>
              </w:rPr>
              <w:fldChar w:fldCharType="separate"/>
            </w:r>
            <w:r w:rsidR="0089597C">
              <w:rPr>
                <w:noProof/>
                <w:webHidden/>
              </w:rPr>
              <w:t>7</w:t>
            </w:r>
            <w:r w:rsidR="0089597C">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796" w:history="1">
            <w:r w:rsidRPr="003E737E">
              <w:rPr>
                <w:rStyle w:val="a3"/>
                <w:noProof/>
                <w:u w:color="000000"/>
              </w:rPr>
              <w:t>1</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内容与范围</w:t>
            </w:r>
            <w:r>
              <w:rPr>
                <w:noProof/>
                <w:webHidden/>
              </w:rPr>
              <w:tab/>
            </w:r>
            <w:r>
              <w:rPr>
                <w:noProof/>
                <w:webHidden/>
              </w:rPr>
              <w:fldChar w:fldCharType="begin"/>
            </w:r>
            <w:r>
              <w:rPr>
                <w:noProof/>
                <w:webHidden/>
              </w:rPr>
              <w:instrText xml:space="preserve"> PAGEREF _Toc406153796 \h </w:instrText>
            </w:r>
            <w:r>
              <w:rPr>
                <w:noProof/>
                <w:webHidden/>
              </w:rPr>
            </w:r>
            <w:r>
              <w:rPr>
                <w:noProof/>
                <w:webHidden/>
              </w:rPr>
              <w:fldChar w:fldCharType="separate"/>
            </w:r>
            <w:r>
              <w:rPr>
                <w:noProof/>
                <w:webHidden/>
              </w:rPr>
              <w:t>1</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797" w:history="1">
            <w:r w:rsidRPr="003E737E">
              <w:rPr>
                <w:rStyle w:val="a3"/>
                <w:noProof/>
                <w:u w:color="000000"/>
              </w:rPr>
              <w:t>2</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规范性引用文件</w:t>
            </w:r>
            <w:r>
              <w:rPr>
                <w:noProof/>
                <w:webHidden/>
              </w:rPr>
              <w:tab/>
            </w:r>
            <w:r>
              <w:rPr>
                <w:noProof/>
                <w:webHidden/>
              </w:rPr>
              <w:fldChar w:fldCharType="begin"/>
            </w:r>
            <w:r>
              <w:rPr>
                <w:noProof/>
                <w:webHidden/>
              </w:rPr>
              <w:instrText xml:space="preserve"> PAGEREF _Toc406153797 \h </w:instrText>
            </w:r>
            <w:r>
              <w:rPr>
                <w:noProof/>
                <w:webHidden/>
              </w:rPr>
            </w:r>
            <w:r>
              <w:rPr>
                <w:noProof/>
                <w:webHidden/>
              </w:rPr>
              <w:fldChar w:fldCharType="separate"/>
            </w:r>
            <w:r>
              <w:rPr>
                <w:noProof/>
                <w:webHidden/>
              </w:rPr>
              <w:t>1</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798" w:history="1">
            <w:r w:rsidRPr="003E737E">
              <w:rPr>
                <w:rStyle w:val="a3"/>
                <w:noProof/>
                <w:u w:color="000000"/>
              </w:rPr>
              <w:t>3</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术语和定义</w:t>
            </w:r>
            <w:bookmarkStart w:id="0" w:name="_GoBack"/>
            <w:bookmarkEnd w:id="0"/>
            <w:r>
              <w:rPr>
                <w:noProof/>
                <w:webHidden/>
              </w:rPr>
              <w:tab/>
            </w:r>
            <w:r>
              <w:rPr>
                <w:noProof/>
                <w:webHidden/>
              </w:rPr>
              <w:fldChar w:fldCharType="begin"/>
            </w:r>
            <w:r>
              <w:rPr>
                <w:noProof/>
                <w:webHidden/>
              </w:rPr>
              <w:instrText xml:space="preserve"> PAGEREF _Toc406153798 \h </w:instrText>
            </w:r>
            <w:r>
              <w:rPr>
                <w:noProof/>
                <w:webHidden/>
              </w:rPr>
            </w:r>
            <w:r>
              <w:rPr>
                <w:noProof/>
                <w:webHidden/>
              </w:rPr>
              <w:fldChar w:fldCharType="separate"/>
            </w:r>
            <w:r>
              <w:rPr>
                <w:noProof/>
                <w:webHidden/>
              </w:rPr>
              <w:t>1</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799" w:history="1">
            <w:r w:rsidRPr="003E737E">
              <w:rPr>
                <w:rStyle w:val="a3"/>
                <w:noProof/>
                <w:u w:color="000000"/>
              </w:rPr>
              <w:t>4</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声环境功能区分类</w:t>
            </w:r>
            <w:r>
              <w:rPr>
                <w:noProof/>
                <w:webHidden/>
              </w:rPr>
              <w:tab/>
            </w:r>
            <w:r>
              <w:rPr>
                <w:noProof/>
                <w:webHidden/>
              </w:rPr>
              <w:fldChar w:fldCharType="begin"/>
            </w:r>
            <w:r>
              <w:rPr>
                <w:noProof/>
                <w:webHidden/>
              </w:rPr>
              <w:instrText xml:space="preserve"> PAGEREF _Toc406153799 \h </w:instrText>
            </w:r>
            <w:r>
              <w:rPr>
                <w:noProof/>
                <w:webHidden/>
              </w:rPr>
            </w:r>
            <w:r>
              <w:rPr>
                <w:noProof/>
                <w:webHidden/>
              </w:rPr>
              <w:fldChar w:fldCharType="separate"/>
            </w:r>
            <w:r>
              <w:rPr>
                <w:noProof/>
                <w:webHidden/>
              </w:rPr>
              <w:t>2</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0" w:history="1">
            <w:r w:rsidRPr="003E737E">
              <w:rPr>
                <w:rStyle w:val="a3"/>
                <w:noProof/>
                <w:u w:color="000000"/>
              </w:rPr>
              <w:t>5</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区划的基本原则</w:t>
            </w:r>
            <w:r>
              <w:rPr>
                <w:noProof/>
                <w:webHidden/>
              </w:rPr>
              <w:tab/>
            </w:r>
            <w:r>
              <w:rPr>
                <w:noProof/>
                <w:webHidden/>
              </w:rPr>
              <w:fldChar w:fldCharType="begin"/>
            </w:r>
            <w:r>
              <w:rPr>
                <w:noProof/>
                <w:webHidden/>
              </w:rPr>
              <w:instrText xml:space="preserve"> PAGEREF _Toc406153800 \h </w:instrText>
            </w:r>
            <w:r>
              <w:rPr>
                <w:noProof/>
                <w:webHidden/>
              </w:rPr>
            </w:r>
            <w:r>
              <w:rPr>
                <w:noProof/>
                <w:webHidden/>
              </w:rPr>
              <w:fldChar w:fldCharType="separate"/>
            </w:r>
            <w:r>
              <w:rPr>
                <w:noProof/>
                <w:webHidden/>
              </w:rPr>
              <w:t>3</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1" w:history="1">
            <w:r w:rsidRPr="003E737E">
              <w:rPr>
                <w:rStyle w:val="a3"/>
                <w:noProof/>
                <w:u w:color="000000"/>
              </w:rPr>
              <w:t>6</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区划的主要依据</w:t>
            </w:r>
            <w:r>
              <w:rPr>
                <w:noProof/>
                <w:webHidden/>
              </w:rPr>
              <w:tab/>
            </w:r>
            <w:r>
              <w:rPr>
                <w:noProof/>
                <w:webHidden/>
              </w:rPr>
              <w:fldChar w:fldCharType="begin"/>
            </w:r>
            <w:r>
              <w:rPr>
                <w:noProof/>
                <w:webHidden/>
              </w:rPr>
              <w:instrText xml:space="preserve"> PAGEREF _Toc406153801 \h </w:instrText>
            </w:r>
            <w:r>
              <w:rPr>
                <w:noProof/>
                <w:webHidden/>
              </w:rPr>
            </w:r>
            <w:r>
              <w:rPr>
                <w:noProof/>
                <w:webHidden/>
              </w:rPr>
              <w:fldChar w:fldCharType="separate"/>
            </w:r>
            <w:r>
              <w:rPr>
                <w:noProof/>
                <w:webHidden/>
              </w:rPr>
              <w:t>3</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2" w:history="1">
            <w:r w:rsidRPr="003E737E">
              <w:rPr>
                <w:rStyle w:val="a3"/>
                <w:noProof/>
                <w:u w:color="000000"/>
              </w:rPr>
              <w:t>7</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区划的程序</w:t>
            </w:r>
            <w:r>
              <w:rPr>
                <w:noProof/>
                <w:webHidden/>
              </w:rPr>
              <w:tab/>
            </w:r>
            <w:r>
              <w:rPr>
                <w:noProof/>
                <w:webHidden/>
              </w:rPr>
              <w:fldChar w:fldCharType="begin"/>
            </w:r>
            <w:r>
              <w:rPr>
                <w:noProof/>
                <w:webHidden/>
              </w:rPr>
              <w:instrText xml:space="preserve"> PAGEREF _Toc406153802 \h </w:instrText>
            </w:r>
            <w:r>
              <w:rPr>
                <w:noProof/>
                <w:webHidden/>
              </w:rPr>
            </w:r>
            <w:r>
              <w:rPr>
                <w:noProof/>
                <w:webHidden/>
              </w:rPr>
              <w:fldChar w:fldCharType="separate"/>
            </w:r>
            <w:r>
              <w:rPr>
                <w:noProof/>
                <w:webHidden/>
              </w:rPr>
              <w:t>4</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3" w:history="1">
            <w:r w:rsidRPr="003E737E">
              <w:rPr>
                <w:rStyle w:val="a3"/>
                <w:noProof/>
                <w:u w:color="000000"/>
              </w:rPr>
              <w:t>8</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区划的方法</w:t>
            </w:r>
            <w:r>
              <w:rPr>
                <w:noProof/>
                <w:webHidden/>
              </w:rPr>
              <w:tab/>
            </w:r>
            <w:r>
              <w:rPr>
                <w:noProof/>
                <w:webHidden/>
              </w:rPr>
              <w:fldChar w:fldCharType="begin"/>
            </w:r>
            <w:r>
              <w:rPr>
                <w:noProof/>
                <w:webHidden/>
              </w:rPr>
              <w:instrText xml:space="preserve"> PAGEREF _Toc406153803 \h </w:instrText>
            </w:r>
            <w:r>
              <w:rPr>
                <w:noProof/>
                <w:webHidden/>
              </w:rPr>
            </w:r>
            <w:r>
              <w:rPr>
                <w:noProof/>
                <w:webHidden/>
              </w:rPr>
              <w:fldChar w:fldCharType="separate"/>
            </w:r>
            <w:r>
              <w:rPr>
                <w:noProof/>
                <w:webHidden/>
              </w:rPr>
              <w:t>4</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4" w:history="1">
            <w:r w:rsidRPr="003E737E">
              <w:rPr>
                <w:rStyle w:val="a3"/>
                <w:noProof/>
                <w:u w:color="000000"/>
              </w:rPr>
              <w:t>9</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其他规定</w:t>
            </w:r>
            <w:r>
              <w:rPr>
                <w:noProof/>
                <w:webHidden/>
              </w:rPr>
              <w:tab/>
            </w:r>
            <w:r>
              <w:rPr>
                <w:noProof/>
                <w:webHidden/>
              </w:rPr>
              <w:fldChar w:fldCharType="begin"/>
            </w:r>
            <w:r>
              <w:rPr>
                <w:noProof/>
                <w:webHidden/>
              </w:rPr>
              <w:instrText xml:space="preserve"> PAGEREF _Toc406153804 \h </w:instrText>
            </w:r>
            <w:r>
              <w:rPr>
                <w:noProof/>
                <w:webHidden/>
              </w:rPr>
            </w:r>
            <w:r>
              <w:rPr>
                <w:noProof/>
                <w:webHidden/>
              </w:rPr>
              <w:fldChar w:fldCharType="separate"/>
            </w:r>
            <w:r>
              <w:rPr>
                <w:noProof/>
                <w:webHidden/>
              </w:rPr>
              <w:t>5</w:t>
            </w:r>
            <w:r>
              <w:rPr>
                <w:noProof/>
                <w:webHidden/>
              </w:rPr>
              <w:fldChar w:fldCharType="end"/>
            </w:r>
          </w:hyperlink>
        </w:p>
        <w:p w:rsidR="0089597C" w:rsidRDefault="0089597C" w:rsidP="0089597C">
          <w:pPr>
            <w:pStyle w:val="10"/>
            <w:tabs>
              <w:tab w:val="left" w:pos="630"/>
              <w:tab w:val="right" w:leader="dot" w:pos="8464"/>
            </w:tabs>
            <w:spacing w:after="0" w:line="240" w:lineRule="auto"/>
            <w:ind w:left="0" w:right="0"/>
            <w:rPr>
              <w:rFonts w:asciiTheme="minorHAnsi" w:eastAsiaTheme="minorEastAsia" w:hAnsiTheme="minorHAnsi" w:cstheme="minorBidi"/>
              <w:noProof/>
              <w:color w:val="auto"/>
            </w:rPr>
          </w:pPr>
          <w:hyperlink w:anchor="_Toc406153805" w:history="1">
            <w:r w:rsidRPr="003E737E">
              <w:rPr>
                <w:rStyle w:val="a3"/>
                <w:noProof/>
                <w:u w:color="000000"/>
              </w:rPr>
              <w:t>10</w:t>
            </w:r>
            <w:r>
              <w:rPr>
                <w:rFonts w:asciiTheme="minorHAnsi" w:eastAsiaTheme="minorEastAsia" w:hAnsiTheme="minorHAnsi" w:cstheme="minorBidi"/>
                <w:noProof/>
                <w:color w:val="auto"/>
              </w:rPr>
              <w:tab/>
            </w:r>
            <w:r w:rsidRPr="003E737E">
              <w:rPr>
                <w:rStyle w:val="a3"/>
                <w:rFonts w:ascii="宋体" w:eastAsia="宋体" w:hAnsi="宋体" w:cs="宋体" w:hint="eastAsia"/>
                <w:noProof/>
              </w:rPr>
              <w:t>标准的实施</w:t>
            </w:r>
            <w:r>
              <w:rPr>
                <w:noProof/>
                <w:webHidden/>
              </w:rPr>
              <w:tab/>
            </w:r>
            <w:r>
              <w:rPr>
                <w:noProof/>
                <w:webHidden/>
              </w:rPr>
              <w:fldChar w:fldCharType="begin"/>
            </w:r>
            <w:r>
              <w:rPr>
                <w:noProof/>
                <w:webHidden/>
              </w:rPr>
              <w:instrText xml:space="preserve"> PAGEREF _Toc406153805 \h </w:instrText>
            </w:r>
            <w:r>
              <w:rPr>
                <w:noProof/>
                <w:webHidden/>
              </w:rPr>
            </w:r>
            <w:r>
              <w:rPr>
                <w:noProof/>
                <w:webHidden/>
              </w:rPr>
              <w:fldChar w:fldCharType="separate"/>
            </w:r>
            <w:r>
              <w:rPr>
                <w:noProof/>
                <w:webHidden/>
              </w:rPr>
              <w:t>6</w:t>
            </w:r>
            <w:r>
              <w:rPr>
                <w:noProof/>
                <w:webHidden/>
              </w:rPr>
              <w:fldChar w:fldCharType="end"/>
            </w:r>
          </w:hyperlink>
        </w:p>
        <w:p w:rsidR="00C5460D" w:rsidRDefault="00564628" w:rsidP="0089597C">
          <w:pPr>
            <w:spacing w:after="0" w:line="240" w:lineRule="auto"/>
            <w:ind w:left="0"/>
          </w:pPr>
          <w:r>
            <w:fldChar w:fldCharType="end"/>
          </w:r>
        </w:p>
      </w:sdtContent>
    </w:sdt>
    <w:p w:rsidR="00C5460D" w:rsidRDefault="00564628">
      <w:pPr>
        <w:spacing w:after="2595" w:line="259" w:lineRule="auto"/>
        <w:ind w:left="10" w:right="251"/>
        <w:jc w:val="right"/>
      </w:pPr>
      <w:r>
        <w:rPr>
          <w:rFonts w:ascii="Times New Roman" w:eastAsia="Times New Roman" w:hAnsi="Times New Roman" w:cs="Times New Roman"/>
          <w:sz w:val="18"/>
        </w:rPr>
        <w:t>I</w:t>
      </w:r>
    </w:p>
    <w:p w:rsidR="00C5460D" w:rsidRDefault="00564628">
      <w:pPr>
        <w:pStyle w:val="1"/>
        <w:numPr>
          <w:ilvl w:val="0"/>
          <w:numId w:val="0"/>
        </w:numPr>
        <w:spacing w:after="642" w:line="265" w:lineRule="auto"/>
        <w:ind w:left="59"/>
        <w:jc w:val="center"/>
      </w:pPr>
      <w:bookmarkStart w:id="1" w:name="_Toc406153795"/>
      <w:r>
        <w:rPr>
          <w:sz w:val="32"/>
        </w:rPr>
        <w:t>前 言</w:t>
      </w:r>
      <w:bookmarkEnd w:id="1"/>
    </w:p>
    <w:p w:rsidR="00C5460D" w:rsidRDefault="00564628">
      <w:pPr>
        <w:spacing w:after="14" w:line="418" w:lineRule="auto"/>
        <w:ind w:left="106" w:firstLine="482"/>
      </w:pPr>
      <w:r>
        <w:t>为贯彻《中华人民共和国环境保护法》和《中华人民共和国环境噪声污染防治法》，</w:t>
      </w:r>
      <w:proofErr w:type="gramStart"/>
      <w:r>
        <w:t>指导声</w:t>
      </w:r>
      <w:proofErr w:type="gramEnd"/>
      <w:r>
        <w:t>环境功能区划分工作，执行《声环境质量标准》(</w:t>
      </w:r>
      <w:r>
        <w:rPr>
          <w:rFonts w:ascii="Times New Roman" w:eastAsia="Times New Roman" w:hAnsi="Times New Roman" w:cs="Times New Roman"/>
        </w:rPr>
        <w:t>GB 3096)</w:t>
      </w:r>
      <w:r>
        <w:t>，制定本标准。</w:t>
      </w:r>
    </w:p>
    <w:p w:rsidR="00C5460D" w:rsidRDefault="00564628">
      <w:pPr>
        <w:spacing w:after="0" w:line="413" w:lineRule="auto"/>
        <w:ind w:left="536"/>
      </w:pPr>
      <w:r>
        <w:t>本标准规定了声环境功能区划分的原则和方法。本标准于1994年首次发布，本次为第一次修订。</w:t>
      </w:r>
    </w:p>
    <w:p w:rsidR="00C5460D" w:rsidRDefault="00564628">
      <w:pPr>
        <w:spacing w:after="169"/>
        <w:ind w:left="536"/>
      </w:pPr>
      <w:r>
        <w:t>本次修订主要内容：</w:t>
      </w:r>
    </w:p>
    <w:p w:rsidR="00C5460D" w:rsidRDefault="00564628">
      <w:pPr>
        <w:spacing w:after="169"/>
        <w:ind w:left="536"/>
      </w:pPr>
      <w:r>
        <w:t>——完善了声环境功能区划分的基本原则；</w:t>
      </w:r>
    </w:p>
    <w:p w:rsidR="00C5460D" w:rsidRDefault="00564628">
      <w:pPr>
        <w:spacing w:after="169"/>
        <w:ind w:left="536"/>
      </w:pPr>
      <w:r>
        <w:t>——调整了声环境功能区划分的方法；</w:t>
      </w:r>
    </w:p>
    <w:p w:rsidR="00C5460D" w:rsidRDefault="00564628">
      <w:pPr>
        <w:spacing w:after="175"/>
        <w:ind w:left="536"/>
      </w:pPr>
      <w:r>
        <w:t>——补充了部分术语、定义及区划的技术要求。</w:t>
      </w:r>
    </w:p>
    <w:p w:rsidR="00C5460D" w:rsidRDefault="00564628">
      <w:pPr>
        <w:spacing w:after="0" w:line="430" w:lineRule="auto"/>
        <w:ind w:left="106" w:firstLine="420"/>
      </w:pPr>
      <w:r>
        <w:t>自本标准实施之日起，《城市区域环境噪声适用区划分技术规范》（</w:t>
      </w:r>
      <w:r>
        <w:rPr>
          <w:rFonts w:ascii="Times New Roman" w:eastAsia="Times New Roman" w:hAnsi="Times New Roman" w:cs="Times New Roman"/>
        </w:rPr>
        <w:t>GB/T 15190-94</w:t>
      </w:r>
      <w:r>
        <w:t>）废止。</w:t>
      </w:r>
    </w:p>
    <w:p w:rsidR="00C5460D" w:rsidRDefault="00564628">
      <w:pPr>
        <w:spacing w:after="169"/>
        <w:ind w:left="536"/>
      </w:pPr>
      <w:r>
        <w:t>本标准由环境保护部科技标准司组织制订。</w:t>
      </w:r>
    </w:p>
    <w:p w:rsidR="00C5460D" w:rsidRDefault="00564628">
      <w:pPr>
        <w:spacing w:after="174"/>
        <w:ind w:left="536"/>
      </w:pPr>
      <w:r>
        <w:t>本标准起草单位：中国环境监测总站、天津市环境监测中心、柳州市环境监测站。</w:t>
      </w:r>
    </w:p>
    <w:p w:rsidR="00C5460D" w:rsidRDefault="00564628">
      <w:pPr>
        <w:spacing w:after="193"/>
        <w:ind w:left="536"/>
      </w:pPr>
      <w:r>
        <w:t xml:space="preserve">本标准环境保护部 </w:t>
      </w:r>
      <w:r>
        <w:rPr>
          <w:rFonts w:ascii="Times New Roman" w:eastAsia="Times New Roman" w:hAnsi="Times New Roman" w:cs="Times New Roman"/>
        </w:rPr>
        <w:t xml:space="preserve">2014 </w:t>
      </w:r>
      <w:r>
        <w:t xml:space="preserve">年 </w:t>
      </w:r>
      <w:r>
        <w:rPr>
          <w:rFonts w:ascii="Times New Roman" w:eastAsia="Times New Roman" w:hAnsi="Times New Roman" w:cs="Times New Roman"/>
        </w:rPr>
        <w:t xml:space="preserve">12 </w:t>
      </w:r>
      <w:r>
        <w:t xml:space="preserve">月 </w:t>
      </w:r>
      <w:r>
        <w:rPr>
          <w:rFonts w:ascii="Times New Roman" w:eastAsia="Times New Roman" w:hAnsi="Times New Roman" w:cs="Times New Roman"/>
        </w:rPr>
        <w:t xml:space="preserve">2 </w:t>
      </w:r>
      <w:r>
        <w:t>日批准。</w:t>
      </w:r>
    </w:p>
    <w:p w:rsidR="00C5460D" w:rsidRDefault="00564628">
      <w:pPr>
        <w:spacing w:after="187"/>
        <w:ind w:left="536"/>
      </w:pPr>
      <w:r>
        <w:t xml:space="preserve">本标准自 </w:t>
      </w:r>
      <w:r>
        <w:rPr>
          <w:rFonts w:ascii="Times New Roman" w:eastAsia="Times New Roman" w:hAnsi="Times New Roman" w:cs="Times New Roman"/>
        </w:rPr>
        <w:t xml:space="preserve">2015 </w:t>
      </w:r>
      <w:r>
        <w:t xml:space="preserve">年 </w:t>
      </w:r>
      <w:r>
        <w:rPr>
          <w:rFonts w:ascii="Times New Roman" w:eastAsia="Times New Roman" w:hAnsi="Times New Roman" w:cs="Times New Roman"/>
        </w:rPr>
        <w:t xml:space="preserve">1 </w:t>
      </w:r>
      <w:r>
        <w:t xml:space="preserve">月 </w:t>
      </w:r>
      <w:r>
        <w:rPr>
          <w:rFonts w:ascii="Times New Roman" w:eastAsia="Times New Roman" w:hAnsi="Times New Roman" w:cs="Times New Roman"/>
        </w:rPr>
        <w:t xml:space="preserve">1 </w:t>
      </w:r>
      <w:r>
        <w:t>日起实施。</w:t>
      </w:r>
    </w:p>
    <w:p w:rsidR="00C5460D" w:rsidRDefault="00564628">
      <w:pPr>
        <w:spacing w:after="5185"/>
        <w:ind w:left="536"/>
      </w:pPr>
      <w:r>
        <w:t>本标准由环境保护部解释。</w:t>
      </w:r>
    </w:p>
    <w:p w:rsidR="00C5460D" w:rsidRDefault="00564628">
      <w:pPr>
        <w:spacing w:after="2595" w:line="259" w:lineRule="auto"/>
        <w:ind w:left="10" w:right="251"/>
        <w:jc w:val="right"/>
      </w:pPr>
      <w:r>
        <w:rPr>
          <w:rFonts w:ascii="Times New Roman" w:eastAsia="Times New Roman" w:hAnsi="Times New Roman" w:cs="Times New Roman"/>
          <w:sz w:val="18"/>
        </w:rPr>
        <w:lastRenderedPageBreak/>
        <w:t>II</w:t>
      </w:r>
    </w:p>
    <w:p w:rsidR="00C5460D" w:rsidRDefault="00C5460D">
      <w:pPr>
        <w:sectPr w:rsidR="00C5460D">
          <w:headerReference w:type="even" r:id="rId8"/>
          <w:headerReference w:type="default" r:id="rId9"/>
          <w:footerReference w:type="even" r:id="rId10"/>
          <w:footerReference w:type="default" r:id="rId11"/>
          <w:headerReference w:type="first" r:id="rId12"/>
          <w:footerReference w:type="first" r:id="rId13"/>
          <w:pgSz w:w="11907" w:h="16839"/>
          <w:pgMar w:top="1440" w:right="1741" w:bottom="851" w:left="1692" w:header="720" w:footer="720" w:gutter="0"/>
          <w:cols w:space="720"/>
          <w:titlePg/>
        </w:sectPr>
      </w:pPr>
    </w:p>
    <w:p w:rsidR="00C5460D" w:rsidRDefault="00564628">
      <w:pPr>
        <w:spacing w:after="115"/>
        <w:ind w:left="59" w:right="260"/>
        <w:jc w:val="center"/>
      </w:pPr>
      <w:r>
        <w:rPr>
          <w:rFonts w:ascii="黑体" w:eastAsia="黑体" w:hAnsi="黑体" w:cs="黑体"/>
          <w:sz w:val="32"/>
        </w:rPr>
        <w:lastRenderedPageBreak/>
        <w:t>声环境功能区划分技术规范</w:t>
      </w:r>
    </w:p>
    <w:p w:rsidR="00C5460D" w:rsidRDefault="00564628">
      <w:pPr>
        <w:pStyle w:val="1"/>
        <w:ind w:left="299" w:hanging="314"/>
      </w:pPr>
      <w:bookmarkStart w:id="2" w:name="_Toc406153796"/>
      <w:r>
        <w:t>内容与范围</w:t>
      </w:r>
      <w:bookmarkEnd w:id="2"/>
    </w:p>
    <w:p w:rsidR="00C5460D" w:rsidRDefault="00564628">
      <w:pPr>
        <w:ind w:left="430"/>
      </w:pPr>
      <w:r>
        <w:t>本标准规定了声环境功能区划分的原则和方法。</w:t>
      </w:r>
    </w:p>
    <w:p w:rsidR="00C5460D" w:rsidRDefault="00564628">
      <w:pPr>
        <w:ind w:left="430"/>
      </w:pPr>
      <w:r>
        <w:t>本标准适用于《声环境质量标准》(</w:t>
      </w:r>
      <w:r>
        <w:rPr>
          <w:rFonts w:ascii="Times New Roman" w:eastAsia="Times New Roman" w:hAnsi="Times New Roman" w:cs="Times New Roman"/>
        </w:rPr>
        <w:t>GB 3096)</w:t>
      </w:r>
      <w:r>
        <w:t>规定的声环境功能区的划分（简称：区划）</w:t>
      </w:r>
    </w:p>
    <w:p w:rsidR="00C5460D" w:rsidRDefault="00564628">
      <w:pPr>
        <w:spacing w:after="351"/>
        <w:ind w:left="-5"/>
      </w:pPr>
      <w:r>
        <w:t>工作。</w:t>
      </w:r>
    </w:p>
    <w:p w:rsidR="00C5460D" w:rsidRDefault="00564628">
      <w:pPr>
        <w:pStyle w:val="1"/>
        <w:ind w:left="299" w:hanging="314"/>
      </w:pPr>
      <w:bookmarkStart w:id="3" w:name="_Toc406153797"/>
      <w:r>
        <w:t>规范性引用文件</w:t>
      </w:r>
      <w:bookmarkEnd w:id="3"/>
    </w:p>
    <w:p w:rsidR="00C5460D" w:rsidRDefault="00564628">
      <w:pPr>
        <w:spacing w:after="4" w:line="360" w:lineRule="auto"/>
        <w:ind w:left="-15" w:firstLine="420"/>
      </w:pPr>
      <w:r>
        <w:t>本标准内容引用了下列文件或其中的条款。凡是不注日期的引用文件，其有效版本适用于本标准。</w:t>
      </w:r>
    </w:p>
    <w:p w:rsidR="00C5460D" w:rsidRDefault="00564628">
      <w:pPr>
        <w:ind w:left="430"/>
      </w:pPr>
      <w:r>
        <w:rPr>
          <w:rFonts w:ascii="Times New Roman" w:eastAsia="Times New Roman" w:hAnsi="Times New Roman" w:cs="Times New Roman"/>
        </w:rPr>
        <w:t xml:space="preserve">GB 3096 </w:t>
      </w:r>
      <w:r>
        <w:t>声环境质量标准</w:t>
      </w:r>
    </w:p>
    <w:p w:rsidR="00C5460D" w:rsidRDefault="00564628">
      <w:pPr>
        <w:tabs>
          <w:tab w:val="center" w:pos="1096"/>
          <w:tab w:val="center" w:pos="3674"/>
        </w:tabs>
        <w:spacing w:after="366"/>
        <w:ind w:left="0" w:firstLine="0"/>
      </w:pPr>
      <w:r>
        <w:rPr>
          <w:rFonts w:ascii="Calibri" w:eastAsia="Calibri" w:hAnsi="Calibri" w:cs="Calibri"/>
          <w:sz w:val="22"/>
        </w:rPr>
        <w:tab/>
      </w:r>
      <w:r>
        <w:rPr>
          <w:rFonts w:ascii="Times New Roman" w:eastAsia="Times New Roman" w:hAnsi="Times New Roman" w:cs="Times New Roman"/>
        </w:rPr>
        <w:t>GB 50137-2011</w:t>
      </w:r>
      <w:r>
        <w:rPr>
          <w:rFonts w:ascii="Times New Roman" w:eastAsia="Times New Roman" w:hAnsi="Times New Roman" w:cs="Times New Roman"/>
        </w:rPr>
        <w:tab/>
      </w:r>
      <w:r>
        <w:t>城市用地分类与规划建设用地标准</w:t>
      </w:r>
    </w:p>
    <w:p w:rsidR="00C5460D" w:rsidRDefault="00564628">
      <w:pPr>
        <w:pStyle w:val="1"/>
        <w:ind w:left="299" w:hanging="314"/>
      </w:pPr>
      <w:bookmarkStart w:id="4" w:name="_Toc406153798"/>
      <w:r>
        <w:t>术语和定义</w:t>
      </w:r>
      <w:bookmarkEnd w:id="4"/>
    </w:p>
    <w:p w:rsidR="00C5460D" w:rsidRDefault="00564628">
      <w:pPr>
        <w:spacing w:after="109"/>
        <w:ind w:left="430"/>
      </w:pPr>
      <w:r>
        <w:t>下列术语和定义适用于本标准。</w:t>
      </w:r>
    </w:p>
    <w:p w:rsidR="00C5460D" w:rsidRDefault="00564628">
      <w:pPr>
        <w:spacing w:after="118" w:line="259" w:lineRule="auto"/>
        <w:ind w:left="-5"/>
      </w:pPr>
      <w:r>
        <w:rPr>
          <w:rFonts w:ascii="黑体" w:eastAsia="黑体" w:hAnsi="黑体" w:cs="黑体"/>
        </w:rPr>
        <w:t>3.1</w:t>
      </w:r>
    </w:p>
    <w:p w:rsidR="00C5460D" w:rsidRDefault="00564628">
      <w:pPr>
        <w:spacing w:after="128" w:line="259" w:lineRule="auto"/>
        <w:ind w:left="415"/>
      </w:pPr>
      <w:r>
        <w:t xml:space="preserve">城市 </w:t>
      </w:r>
      <w:r>
        <w:rPr>
          <w:rFonts w:ascii="Times New Roman" w:eastAsia="Times New Roman" w:hAnsi="Times New Roman" w:cs="Times New Roman"/>
          <w:b/>
        </w:rPr>
        <w:t>city</w:t>
      </w:r>
    </w:p>
    <w:p w:rsidR="00C5460D" w:rsidRDefault="00564628">
      <w:pPr>
        <w:spacing w:after="111"/>
        <w:ind w:left="430"/>
      </w:pPr>
      <w:r>
        <w:t>按国家行政建制设立的直辖市、市和建制镇。</w:t>
      </w:r>
    </w:p>
    <w:p w:rsidR="00C5460D" w:rsidRDefault="00564628">
      <w:pPr>
        <w:spacing w:after="118" w:line="259" w:lineRule="auto"/>
        <w:ind w:left="-5"/>
      </w:pPr>
      <w:r>
        <w:rPr>
          <w:rFonts w:ascii="黑体" w:eastAsia="黑体" w:hAnsi="黑体" w:cs="黑体"/>
        </w:rPr>
        <w:t>3.2</w:t>
      </w:r>
    </w:p>
    <w:p w:rsidR="00C5460D" w:rsidRDefault="00564628">
      <w:pPr>
        <w:spacing w:after="128" w:line="259" w:lineRule="auto"/>
        <w:ind w:left="415"/>
      </w:pPr>
      <w:r>
        <w:t xml:space="preserve">城市规划区 </w:t>
      </w:r>
      <w:r>
        <w:rPr>
          <w:rFonts w:ascii="Times New Roman" w:eastAsia="Times New Roman" w:hAnsi="Times New Roman" w:cs="Times New Roman"/>
          <w:b/>
        </w:rPr>
        <w:t>urban planning area</w:t>
      </w:r>
    </w:p>
    <w:p w:rsidR="00C5460D" w:rsidRDefault="00564628">
      <w:pPr>
        <w:spacing w:after="109"/>
        <w:ind w:left="430"/>
      </w:pPr>
      <w:r>
        <w:t>城市市区、近郊区以及城市行政区域内因城市建设和发展需要实行规划控制的其他区域。</w:t>
      </w:r>
    </w:p>
    <w:p w:rsidR="00C5460D" w:rsidRDefault="00564628">
      <w:pPr>
        <w:spacing w:after="109"/>
        <w:ind w:left="-5"/>
      </w:pPr>
      <w:r>
        <w:t>城市规划区的具体范围，由城市人民政府在编制的城市总体规划中划定。</w:t>
      </w:r>
    </w:p>
    <w:p w:rsidR="00C5460D" w:rsidRDefault="00564628">
      <w:pPr>
        <w:spacing w:after="118" w:line="259" w:lineRule="auto"/>
        <w:ind w:left="-5"/>
      </w:pPr>
      <w:r>
        <w:rPr>
          <w:rFonts w:ascii="黑体" w:eastAsia="黑体" w:hAnsi="黑体" w:cs="黑体"/>
        </w:rPr>
        <w:t>3.3</w:t>
      </w:r>
    </w:p>
    <w:p w:rsidR="00C5460D" w:rsidRDefault="00564628">
      <w:pPr>
        <w:spacing w:after="128" w:line="259" w:lineRule="auto"/>
        <w:ind w:left="415"/>
      </w:pPr>
      <w:r>
        <w:t xml:space="preserve">乡村 </w:t>
      </w:r>
      <w:r>
        <w:rPr>
          <w:rFonts w:ascii="Times New Roman" w:eastAsia="Times New Roman" w:hAnsi="Times New Roman" w:cs="Times New Roman"/>
          <w:b/>
        </w:rPr>
        <w:t>rural area</w:t>
      </w:r>
    </w:p>
    <w:p w:rsidR="00C5460D" w:rsidRDefault="00564628">
      <w:pPr>
        <w:spacing w:after="0" w:line="360" w:lineRule="auto"/>
        <w:ind w:left="430"/>
      </w:pPr>
      <w:r>
        <w:t>除城市规划区以外的其他地区，如村庄、集镇等。村庄是指农村村民居住和从事各种生产的聚居点。</w:t>
      </w:r>
    </w:p>
    <w:p w:rsidR="00C5460D" w:rsidRDefault="00564628">
      <w:pPr>
        <w:spacing w:after="2" w:line="360" w:lineRule="auto"/>
        <w:ind w:left="-15" w:firstLine="410"/>
      </w:pPr>
      <w:r>
        <w:t>集镇是指乡、民族乡人民政府所在地和经县级人民政府确定由集市发展而成的作为农村一定区域经济、文化和生活服务中心的非建制镇。</w:t>
      </w:r>
    </w:p>
    <w:p w:rsidR="00C5460D" w:rsidRDefault="00564628">
      <w:pPr>
        <w:spacing w:after="118" w:line="259" w:lineRule="auto"/>
        <w:ind w:left="-5"/>
      </w:pPr>
      <w:r>
        <w:rPr>
          <w:rFonts w:ascii="黑体" w:eastAsia="黑体" w:hAnsi="黑体" w:cs="黑体"/>
        </w:rPr>
        <w:t>3.4</w:t>
      </w:r>
    </w:p>
    <w:p w:rsidR="00C5460D" w:rsidRDefault="00564628">
      <w:pPr>
        <w:spacing w:after="246" w:line="259" w:lineRule="auto"/>
        <w:ind w:left="415"/>
      </w:pPr>
      <w:r>
        <w:t xml:space="preserve">近期规划 </w:t>
      </w:r>
      <w:r>
        <w:rPr>
          <w:rFonts w:ascii="Times New Roman" w:eastAsia="Times New Roman" w:hAnsi="Times New Roman" w:cs="Times New Roman"/>
          <w:b/>
        </w:rPr>
        <w:t>immediate plan</w:t>
      </w:r>
    </w:p>
    <w:p w:rsidR="00C5460D" w:rsidRDefault="00564628">
      <w:pPr>
        <w:spacing w:after="109"/>
        <w:ind w:left="430"/>
      </w:pPr>
      <w:r>
        <w:t>在城市总体规划中，对短期内建设目标、发展布局和主要建设项目的实施</w:t>
      </w:r>
      <w:r>
        <w:rPr>
          <w:color w:val="FF0000"/>
        </w:rPr>
        <w:t>所做</w:t>
      </w:r>
      <w:r>
        <w:t>的安排。</w:t>
      </w:r>
    </w:p>
    <w:p w:rsidR="00C5460D" w:rsidRDefault="00564628">
      <w:pPr>
        <w:spacing w:after="118" w:line="259" w:lineRule="auto"/>
        <w:ind w:left="-5"/>
      </w:pPr>
      <w:r>
        <w:rPr>
          <w:rFonts w:ascii="黑体" w:eastAsia="黑体" w:hAnsi="黑体" w:cs="黑体"/>
        </w:rPr>
        <w:t>3.5</w:t>
      </w:r>
    </w:p>
    <w:p w:rsidR="00C5460D" w:rsidRDefault="00564628">
      <w:pPr>
        <w:spacing w:after="128" w:line="259" w:lineRule="auto"/>
        <w:ind w:left="415"/>
      </w:pPr>
      <w:r>
        <w:t xml:space="preserve">城市性质 </w:t>
      </w:r>
      <w:r>
        <w:rPr>
          <w:rFonts w:ascii="Times New Roman" w:eastAsia="Times New Roman" w:hAnsi="Times New Roman" w:cs="Times New Roman"/>
          <w:b/>
        </w:rPr>
        <w:t>designated function of city</w:t>
      </w:r>
    </w:p>
    <w:p w:rsidR="00C5460D" w:rsidRDefault="00564628">
      <w:pPr>
        <w:spacing w:after="0" w:line="360" w:lineRule="auto"/>
        <w:ind w:left="-15" w:firstLine="420"/>
      </w:pPr>
      <w:r>
        <w:lastRenderedPageBreak/>
        <w:t>城市在一定地区、国家以至更大范围内的政治、经济与社会发展中所处的地位和所担负的主要职能。</w:t>
      </w:r>
    </w:p>
    <w:p w:rsidR="00C5460D" w:rsidRDefault="00564628">
      <w:pPr>
        <w:spacing w:after="118" w:line="259" w:lineRule="auto"/>
        <w:ind w:left="-5"/>
      </w:pPr>
      <w:r>
        <w:rPr>
          <w:rFonts w:ascii="黑体" w:eastAsia="黑体" w:hAnsi="黑体" w:cs="黑体"/>
        </w:rPr>
        <w:t>3.6</w:t>
      </w:r>
    </w:p>
    <w:p w:rsidR="00C5460D" w:rsidRDefault="00564628">
      <w:pPr>
        <w:spacing w:after="128" w:line="259" w:lineRule="auto"/>
        <w:ind w:left="415"/>
      </w:pPr>
      <w:r>
        <w:t xml:space="preserve">城市规模 </w:t>
      </w:r>
      <w:r>
        <w:rPr>
          <w:rFonts w:ascii="Times New Roman" w:eastAsia="Times New Roman" w:hAnsi="Times New Roman" w:cs="Times New Roman"/>
          <w:b/>
        </w:rPr>
        <w:t>city size</w:t>
      </w:r>
    </w:p>
    <w:p w:rsidR="00C5460D" w:rsidRDefault="00564628">
      <w:pPr>
        <w:spacing w:after="109"/>
        <w:ind w:left="430"/>
      </w:pPr>
      <w:r>
        <w:t>以城市人口和城市用地总量所表示的城市的大小。</w:t>
      </w:r>
    </w:p>
    <w:p w:rsidR="00C5460D" w:rsidRDefault="00564628">
      <w:pPr>
        <w:spacing w:after="118" w:line="259" w:lineRule="auto"/>
        <w:ind w:left="-5"/>
      </w:pPr>
      <w:r>
        <w:rPr>
          <w:rFonts w:ascii="黑体" w:eastAsia="黑体" w:hAnsi="黑体" w:cs="黑体"/>
        </w:rPr>
        <w:t>3.7</w:t>
      </w:r>
    </w:p>
    <w:p w:rsidR="00C5460D" w:rsidRDefault="00564628">
      <w:pPr>
        <w:spacing w:after="128" w:line="259" w:lineRule="auto"/>
        <w:ind w:left="415"/>
      </w:pPr>
      <w:r>
        <w:t xml:space="preserve">交通干线 </w:t>
      </w:r>
      <w:r>
        <w:rPr>
          <w:rFonts w:ascii="Times New Roman" w:eastAsia="Times New Roman" w:hAnsi="Times New Roman" w:cs="Times New Roman"/>
          <w:b/>
        </w:rPr>
        <w:t>traffic artery</w:t>
      </w:r>
    </w:p>
    <w:p w:rsidR="00C5460D" w:rsidRDefault="00564628">
      <w:pPr>
        <w:spacing w:after="109"/>
        <w:ind w:left="428"/>
      </w:pPr>
      <w:r>
        <w:t>铁路（铁路专用线除外）、高速公路、一级公路、二级公路、城市快速路、城市主干路、</w:t>
      </w:r>
    </w:p>
    <w:p w:rsidR="00C5460D" w:rsidRDefault="00564628">
      <w:pPr>
        <w:spacing w:after="11" w:line="367" w:lineRule="auto"/>
        <w:ind w:left="-5"/>
      </w:pPr>
      <w:r>
        <w:t xml:space="preserve">城市次干路、城市轨道交通线路（地面段）、内河航道。应根据铁路、交通、城市等规划确定。以上交通干线类型的定义参见 </w:t>
      </w:r>
      <w:r>
        <w:rPr>
          <w:rFonts w:ascii="Times New Roman" w:eastAsia="Times New Roman" w:hAnsi="Times New Roman" w:cs="Times New Roman"/>
        </w:rPr>
        <w:t xml:space="preserve">GB 3096 </w:t>
      </w:r>
      <w:r>
        <w:t>附录A。</w:t>
      </w:r>
    </w:p>
    <w:p w:rsidR="00C5460D" w:rsidRDefault="00564628">
      <w:pPr>
        <w:spacing w:after="118" w:line="259" w:lineRule="auto"/>
        <w:ind w:left="-5"/>
      </w:pPr>
      <w:r>
        <w:rPr>
          <w:rFonts w:ascii="黑体" w:eastAsia="黑体" w:hAnsi="黑体" w:cs="黑体"/>
        </w:rPr>
        <w:t>3.8</w:t>
      </w:r>
    </w:p>
    <w:p w:rsidR="00C5460D" w:rsidRDefault="00564628">
      <w:pPr>
        <w:spacing w:after="128" w:line="259" w:lineRule="auto"/>
        <w:ind w:left="415"/>
      </w:pPr>
      <w:r>
        <w:t xml:space="preserve">区划单元 </w:t>
      </w:r>
      <w:r>
        <w:rPr>
          <w:rFonts w:ascii="Times New Roman" w:eastAsia="Times New Roman" w:hAnsi="Times New Roman" w:cs="Times New Roman"/>
          <w:b/>
        </w:rPr>
        <w:t>noise zoning unit</w:t>
      </w:r>
    </w:p>
    <w:p w:rsidR="00C5460D" w:rsidRDefault="00564628">
      <w:pPr>
        <w:spacing w:after="0" w:line="362" w:lineRule="auto"/>
        <w:ind w:left="-15" w:firstLine="420"/>
      </w:pPr>
      <w:r>
        <w:t>在区划工作中，由交通干线、河流、沟壑等明显线状地物和绿地等围成的城市结构、布局和环境状况相近的居、街委会或小区。</w:t>
      </w:r>
    </w:p>
    <w:p w:rsidR="00C5460D" w:rsidRDefault="00564628">
      <w:pPr>
        <w:spacing w:after="234" w:line="259" w:lineRule="auto"/>
        <w:ind w:left="-5"/>
      </w:pPr>
      <w:r>
        <w:rPr>
          <w:rFonts w:ascii="黑体" w:eastAsia="黑体" w:hAnsi="黑体" w:cs="黑体"/>
        </w:rPr>
        <w:t>3.9</w:t>
      </w:r>
    </w:p>
    <w:p w:rsidR="00C5460D" w:rsidRDefault="00564628">
      <w:pPr>
        <w:ind w:left="430"/>
      </w:pPr>
      <w:r>
        <w:t xml:space="preserve">Ⅰ类用地、Ⅱ类用地 </w:t>
      </w:r>
      <w:proofErr w:type="spellStart"/>
      <w:r>
        <w:t>typeⅠland</w:t>
      </w:r>
      <w:proofErr w:type="spellEnd"/>
      <w:r>
        <w:t xml:space="preserve">、 </w:t>
      </w:r>
      <w:proofErr w:type="spellStart"/>
      <w:r>
        <w:t>typeⅡland</w:t>
      </w:r>
      <w:proofErr w:type="spellEnd"/>
    </w:p>
    <w:p w:rsidR="00C5460D" w:rsidRDefault="00564628">
      <w:pPr>
        <w:ind w:left="430"/>
      </w:pPr>
      <w:r>
        <w:t xml:space="preserve">Ⅰ类用地包括 </w:t>
      </w:r>
      <w:r>
        <w:rPr>
          <w:rFonts w:ascii="Times New Roman" w:eastAsia="Times New Roman" w:hAnsi="Times New Roman" w:cs="Times New Roman"/>
        </w:rPr>
        <w:t xml:space="preserve">GB50137-2011 </w:t>
      </w:r>
      <w:r>
        <w:t>中规定的居住用地（</w:t>
      </w:r>
      <w:r>
        <w:rPr>
          <w:rFonts w:ascii="Times New Roman" w:eastAsia="Times New Roman" w:hAnsi="Times New Roman" w:cs="Times New Roman"/>
        </w:rPr>
        <w:t xml:space="preserve">R </w:t>
      </w:r>
      <w:r>
        <w:t>类）、公园绿地（</w:t>
      </w:r>
      <w:r>
        <w:rPr>
          <w:rFonts w:ascii="Times New Roman" w:eastAsia="Times New Roman" w:hAnsi="Times New Roman" w:cs="Times New Roman"/>
        </w:rPr>
        <w:t xml:space="preserve">G1 </w:t>
      </w:r>
      <w:r>
        <w:t>类）、行政办公</w:t>
      </w:r>
    </w:p>
    <w:p w:rsidR="00C5460D" w:rsidRDefault="00564628">
      <w:pPr>
        <w:spacing w:after="0" w:line="383" w:lineRule="auto"/>
        <w:ind w:left="-5"/>
      </w:pPr>
      <w:r>
        <w:t>用地（</w:t>
      </w:r>
      <w:r>
        <w:rPr>
          <w:rFonts w:ascii="Times New Roman" w:eastAsia="Times New Roman" w:hAnsi="Times New Roman" w:cs="Times New Roman"/>
        </w:rPr>
        <w:t xml:space="preserve">A1 </w:t>
      </w:r>
      <w:r>
        <w:t>类）、文化设施用地（</w:t>
      </w:r>
      <w:r>
        <w:rPr>
          <w:rFonts w:ascii="Times New Roman" w:eastAsia="Times New Roman" w:hAnsi="Times New Roman" w:cs="Times New Roman"/>
        </w:rPr>
        <w:t xml:space="preserve">A2 </w:t>
      </w:r>
      <w:r>
        <w:t>类）、教育科研用地（</w:t>
      </w:r>
      <w:r>
        <w:rPr>
          <w:rFonts w:ascii="Times New Roman" w:eastAsia="Times New Roman" w:hAnsi="Times New Roman" w:cs="Times New Roman"/>
        </w:rPr>
        <w:t xml:space="preserve">A3 </w:t>
      </w:r>
      <w:r>
        <w:t>类）、医疗卫生用地（</w:t>
      </w:r>
      <w:r>
        <w:rPr>
          <w:rFonts w:ascii="Times New Roman" w:eastAsia="Times New Roman" w:hAnsi="Times New Roman" w:cs="Times New Roman"/>
        </w:rPr>
        <w:t xml:space="preserve">A5 </w:t>
      </w:r>
      <w:r>
        <w:t>类）、社会福利设施用地（</w:t>
      </w:r>
      <w:r>
        <w:rPr>
          <w:rFonts w:ascii="Times New Roman" w:eastAsia="Times New Roman" w:hAnsi="Times New Roman" w:cs="Times New Roman"/>
        </w:rPr>
        <w:t xml:space="preserve">A6 </w:t>
      </w:r>
      <w:r>
        <w:t xml:space="preserve">类）；Ⅱ类用地包括 </w:t>
      </w:r>
      <w:r>
        <w:rPr>
          <w:rFonts w:ascii="Times New Roman" w:eastAsia="Times New Roman" w:hAnsi="Times New Roman" w:cs="Times New Roman"/>
        </w:rPr>
        <w:t xml:space="preserve">GB50137-2011 </w:t>
      </w:r>
      <w:r>
        <w:t>中规定的工业用地（</w:t>
      </w:r>
      <w:r>
        <w:rPr>
          <w:rFonts w:ascii="Times New Roman" w:eastAsia="Times New Roman" w:hAnsi="Times New Roman" w:cs="Times New Roman"/>
        </w:rPr>
        <w:t xml:space="preserve">M </w:t>
      </w:r>
      <w:r>
        <w:t>类）和物流仓储用地（</w:t>
      </w:r>
      <w:r>
        <w:rPr>
          <w:rFonts w:ascii="Times New Roman" w:eastAsia="Times New Roman" w:hAnsi="Times New Roman" w:cs="Times New Roman"/>
        </w:rPr>
        <w:t xml:space="preserve">W </w:t>
      </w:r>
      <w:r>
        <w:t>类）。</w:t>
      </w:r>
    </w:p>
    <w:p w:rsidR="00C5460D" w:rsidRDefault="00564628">
      <w:pPr>
        <w:spacing w:after="118" w:line="259" w:lineRule="auto"/>
        <w:ind w:left="-5"/>
      </w:pPr>
      <w:r>
        <w:rPr>
          <w:rFonts w:ascii="黑体" w:eastAsia="黑体" w:hAnsi="黑体" w:cs="黑体"/>
        </w:rPr>
        <w:t>3.10</w:t>
      </w:r>
    </w:p>
    <w:p w:rsidR="00C5460D" w:rsidRDefault="00564628">
      <w:pPr>
        <w:spacing w:after="128" w:line="259" w:lineRule="auto"/>
        <w:ind w:left="415"/>
      </w:pPr>
      <w:r>
        <w:t xml:space="preserve">交通干线边界线 </w:t>
      </w:r>
      <w:r>
        <w:rPr>
          <w:rFonts w:ascii="Times New Roman" w:eastAsia="Times New Roman" w:hAnsi="Times New Roman" w:cs="Times New Roman"/>
          <w:b/>
        </w:rPr>
        <w:t>traffic Boundary</w:t>
      </w:r>
    </w:p>
    <w:p w:rsidR="00C5460D" w:rsidRDefault="00564628">
      <w:pPr>
        <w:spacing w:after="111"/>
        <w:ind w:left="430"/>
      </w:pPr>
      <w:r>
        <w:t>城市交通干线中各级市政道路与人行道的交界线，无人行道的高架道路地面投影边界，</w:t>
      </w:r>
    </w:p>
    <w:p w:rsidR="00C5460D" w:rsidRDefault="00564628">
      <w:pPr>
        <w:spacing w:after="0" w:line="360" w:lineRule="auto"/>
        <w:ind w:left="-5"/>
      </w:pPr>
      <w:r>
        <w:t>各级公路的边界线，铁路交通用地边界线，城市轨道交通用地边界线，内河航道的河堤护栏或堤外坡角。</w:t>
      </w:r>
    </w:p>
    <w:p w:rsidR="00C5460D" w:rsidRDefault="00564628">
      <w:pPr>
        <w:spacing w:after="128" w:line="362" w:lineRule="auto"/>
        <w:ind w:left="420" w:right="5156" w:hanging="420"/>
      </w:pPr>
      <w:r>
        <w:rPr>
          <w:rFonts w:ascii="黑体" w:eastAsia="黑体" w:hAnsi="黑体" w:cs="黑体"/>
        </w:rPr>
        <w:t xml:space="preserve">3.11 </w:t>
      </w:r>
      <w:r>
        <w:t xml:space="preserve">临街建筑 </w:t>
      </w:r>
      <w:r>
        <w:rPr>
          <w:rFonts w:ascii="Times New Roman" w:eastAsia="Times New Roman" w:hAnsi="Times New Roman" w:cs="Times New Roman"/>
          <w:b/>
        </w:rPr>
        <w:t>Street Front Buildings</w:t>
      </w:r>
    </w:p>
    <w:p w:rsidR="00C5460D" w:rsidRDefault="00564628">
      <w:pPr>
        <w:spacing w:after="349"/>
        <w:ind w:left="430"/>
      </w:pPr>
      <w:r>
        <w:t>交通干线</w:t>
      </w:r>
      <w:proofErr w:type="gramStart"/>
      <w:r>
        <w:t>边界线外拟划定</w:t>
      </w:r>
      <w:proofErr w:type="gramEnd"/>
      <w:r>
        <w:t>4类声环境功能区域范围内，面向道路的第一排建筑。</w:t>
      </w:r>
    </w:p>
    <w:p w:rsidR="00C5460D" w:rsidRDefault="00564628">
      <w:pPr>
        <w:pStyle w:val="1"/>
        <w:ind w:left="299" w:hanging="314"/>
      </w:pPr>
      <w:bookmarkStart w:id="5" w:name="_Toc406153799"/>
      <w:r>
        <w:t>声环境功能区分类</w:t>
      </w:r>
      <w:bookmarkEnd w:id="5"/>
    </w:p>
    <w:p w:rsidR="00C5460D" w:rsidRDefault="00564628">
      <w:pPr>
        <w:spacing w:after="255"/>
        <w:ind w:left="430"/>
      </w:pPr>
      <w:r>
        <w:t xml:space="preserve">根据 </w:t>
      </w:r>
      <w:r>
        <w:rPr>
          <w:rFonts w:ascii="Times New Roman" w:eastAsia="Times New Roman" w:hAnsi="Times New Roman" w:cs="Times New Roman"/>
        </w:rPr>
        <w:t xml:space="preserve">GB 3096 </w:t>
      </w:r>
      <w:r>
        <w:t>的规定，声环境功能区分为以下五种类型：</w:t>
      </w:r>
    </w:p>
    <w:p w:rsidR="00C5460D" w:rsidRDefault="00564628">
      <w:pPr>
        <w:ind w:left="-5"/>
      </w:pPr>
      <w:r>
        <w:rPr>
          <w:rFonts w:ascii="黑体" w:eastAsia="黑体" w:hAnsi="黑体" w:cs="黑体"/>
        </w:rPr>
        <w:t xml:space="preserve">4.1 </w:t>
      </w:r>
      <w:r>
        <w:rPr>
          <w:rFonts w:ascii="Times New Roman" w:eastAsia="Times New Roman" w:hAnsi="Times New Roman" w:cs="Times New Roman"/>
        </w:rPr>
        <w:t>0</w:t>
      </w:r>
      <w:r>
        <w:t>类声环境功能区：指康复疗养区等特别需要安静的区域。</w:t>
      </w:r>
    </w:p>
    <w:p w:rsidR="00C5460D" w:rsidRDefault="00564628">
      <w:pPr>
        <w:spacing w:after="105" w:line="379" w:lineRule="auto"/>
        <w:ind w:left="-5"/>
      </w:pPr>
      <w:r>
        <w:rPr>
          <w:rFonts w:ascii="黑体" w:eastAsia="黑体" w:hAnsi="黑体" w:cs="黑体"/>
        </w:rPr>
        <w:lastRenderedPageBreak/>
        <w:t xml:space="preserve">4.2 </w:t>
      </w:r>
      <w:r>
        <w:rPr>
          <w:rFonts w:ascii="Times New Roman" w:eastAsia="Times New Roman" w:hAnsi="Times New Roman" w:cs="Times New Roman"/>
        </w:rPr>
        <w:t>1</w:t>
      </w:r>
      <w:r>
        <w:t>类声环境功能区：指以居民住宅、医疗卫生、文化教育、科研设计、行政办公为主要功能，需要保持安静的区域。</w:t>
      </w:r>
    </w:p>
    <w:p w:rsidR="00C5460D" w:rsidRDefault="00564628">
      <w:pPr>
        <w:spacing w:after="108" w:line="379" w:lineRule="auto"/>
        <w:ind w:left="-5"/>
      </w:pPr>
      <w:r>
        <w:rPr>
          <w:rFonts w:ascii="黑体" w:eastAsia="黑体" w:hAnsi="黑体" w:cs="黑体"/>
        </w:rPr>
        <w:t xml:space="preserve">4.3 </w:t>
      </w:r>
      <w:r>
        <w:rPr>
          <w:rFonts w:ascii="Times New Roman" w:eastAsia="Times New Roman" w:hAnsi="Times New Roman" w:cs="Times New Roman"/>
        </w:rPr>
        <w:t>2</w:t>
      </w:r>
      <w:r>
        <w:t>类声环境功能区：指以商业金融、集市贸易为主要功能，或者居住、商业、工业混杂，需要维护住宅安静的区域。</w:t>
      </w:r>
    </w:p>
    <w:p w:rsidR="00C5460D" w:rsidRDefault="00564628">
      <w:pPr>
        <w:spacing w:after="105" w:line="379" w:lineRule="auto"/>
        <w:ind w:left="-5"/>
      </w:pPr>
      <w:r>
        <w:rPr>
          <w:rFonts w:ascii="黑体" w:eastAsia="黑体" w:hAnsi="黑体" w:cs="黑体"/>
        </w:rPr>
        <w:t xml:space="preserve">4.4 </w:t>
      </w:r>
      <w:r>
        <w:rPr>
          <w:rFonts w:ascii="Times New Roman" w:eastAsia="Times New Roman" w:hAnsi="Times New Roman" w:cs="Times New Roman"/>
        </w:rPr>
        <w:t>3</w:t>
      </w:r>
      <w:r>
        <w:t>类声环境功能区：指以工业生产、仓储物流为主要功能，需要防止工业噪声对周围环境产生严重影响的区域。</w:t>
      </w:r>
    </w:p>
    <w:p w:rsidR="00C5460D" w:rsidRDefault="00564628">
      <w:pPr>
        <w:spacing w:after="221" w:line="379" w:lineRule="auto"/>
        <w:ind w:left="-5"/>
      </w:pPr>
      <w:r>
        <w:rPr>
          <w:rFonts w:ascii="黑体" w:eastAsia="黑体" w:hAnsi="黑体" w:cs="黑体"/>
        </w:rPr>
        <w:t xml:space="preserve">4.5 </w:t>
      </w:r>
      <w:r>
        <w:rPr>
          <w:rFonts w:ascii="Times New Roman" w:eastAsia="Times New Roman" w:hAnsi="Times New Roman" w:cs="Times New Roman"/>
        </w:rPr>
        <w:t>4</w:t>
      </w:r>
      <w:r>
        <w:t>类声环境功能区：指交通干线两侧一定距离之内，需要防止交通噪声对周围环境产生严重影响的区域，包括</w:t>
      </w:r>
      <w:r>
        <w:rPr>
          <w:rFonts w:ascii="Times New Roman" w:eastAsia="Times New Roman" w:hAnsi="Times New Roman" w:cs="Times New Roman"/>
        </w:rPr>
        <w:t>4a</w:t>
      </w:r>
      <w:r>
        <w:t>类和</w:t>
      </w:r>
      <w:r>
        <w:rPr>
          <w:rFonts w:ascii="Times New Roman" w:eastAsia="Times New Roman" w:hAnsi="Times New Roman" w:cs="Times New Roman"/>
        </w:rPr>
        <w:t>4b</w:t>
      </w:r>
      <w:r>
        <w:t>类两种类型。</w:t>
      </w:r>
      <w:r>
        <w:rPr>
          <w:rFonts w:ascii="Times New Roman" w:eastAsia="Times New Roman" w:hAnsi="Times New Roman" w:cs="Times New Roman"/>
        </w:rPr>
        <w:t>4a</w:t>
      </w:r>
      <w:r>
        <w:t>类为高速公路、一级公路、二级公路、城市快速路、城市主干路、城市次干路、城市轨道交通（地面段）、内河航道两侧区域；</w:t>
      </w:r>
      <w:r>
        <w:rPr>
          <w:rFonts w:ascii="Times New Roman" w:eastAsia="Times New Roman" w:hAnsi="Times New Roman" w:cs="Times New Roman"/>
        </w:rPr>
        <w:t>4b</w:t>
      </w:r>
      <w:r>
        <w:t>类为铁路干线两侧区域。</w:t>
      </w:r>
    </w:p>
    <w:p w:rsidR="00C5460D" w:rsidRDefault="00564628">
      <w:pPr>
        <w:pStyle w:val="1"/>
        <w:spacing w:after="256"/>
        <w:ind w:left="299" w:hanging="314"/>
      </w:pPr>
      <w:bookmarkStart w:id="6" w:name="_Toc406153800"/>
      <w:r>
        <w:t>区划的基本原则</w:t>
      </w:r>
      <w:bookmarkEnd w:id="6"/>
    </w:p>
    <w:p w:rsidR="00C5460D" w:rsidRDefault="00564628">
      <w:pPr>
        <w:spacing w:line="360" w:lineRule="auto"/>
        <w:ind w:left="-15" w:firstLine="420"/>
      </w:pPr>
      <w:r>
        <w:t>区划以有效地控制噪声污染的程度和范围，有利于</w:t>
      </w:r>
      <w:proofErr w:type="gramStart"/>
      <w:r>
        <w:t>提高声</w:t>
      </w:r>
      <w:proofErr w:type="gramEnd"/>
      <w:r>
        <w:t>环境质量为宗旨。区划应遵循以下基本原则。</w:t>
      </w:r>
    </w:p>
    <w:p w:rsidR="00C5460D" w:rsidRDefault="00564628">
      <w:pPr>
        <w:spacing w:after="96" w:line="381" w:lineRule="auto"/>
        <w:ind w:left="-5"/>
      </w:pPr>
      <w:r>
        <w:rPr>
          <w:rFonts w:ascii="黑体" w:eastAsia="黑体" w:hAnsi="黑体" w:cs="黑体"/>
        </w:rPr>
        <w:t xml:space="preserve">5.1 </w:t>
      </w:r>
      <w:r>
        <w:t>区划应以城市规划为指导，按区域规划用地的主导功能、用地现状确定。应覆盖整个城市规划区面积。</w:t>
      </w:r>
    </w:p>
    <w:p w:rsidR="00C5460D" w:rsidRDefault="00564628">
      <w:pPr>
        <w:spacing w:after="252"/>
        <w:ind w:left="-5"/>
      </w:pPr>
      <w:r>
        <w:rPr>
          <w:rFonts w:ascii="黑体" w:eastAsia="黑体" w:hAnsi="黑体" w:cs="黑体"/>
        </w:rPr>
        <w:t xml:space="preserve">5.2 </w:t>
      </w:r>
      <w:r>
        <w:t>区划应便于城市环境噪声管理和促进噪声治理。</w:t>
      </w:r>
    </w:p>
    <w:p w:rsidR="00C5460D" w:rsidRDefault="00564628">
      <w:pPr>
        <w:spacing w:after="89" w:line="393" w:lineRule="auto"/>
        <w:ind w:left="-5"/>
      </w:pPr>
      <w:r>
        <w:rPr>
          <w:rFonts w:ascii="黑体" w:eastAsia="黑体" w:hAnsi="黑体" w:cs="黑体"/>
        </w:rPr>
        <w:t xml:space="preserve">5.3 </w:t>
      </w:r>
      <w:r>
        <w:t>单块的声环境功能区面积，原则上不小于0.5km</w:t>
      </w:r>
      <w:r>
        <w:rPr>
          <w:sz w:val="16"/>
          <w:vertAlign w:val="superscript"/>
        </w:rPr>
        <w:t>2</w:t>
      </w:r>
      <w:r>
        <w:t>。山区等地形特殊的城市，可根据城市的地形特征确定适宜的区域面积。</w:t>
      </w:r>
    </w:p>
    <w:p w:rsidR="00C5460D" w:rsidRDefault="00564628">
      <w:pPr>
        <w:spacing w:after="250"/>
        <w:ind w:left="-5"/>
      </w:pPr>
      <w:r>
        <w:rPr>
          <w:rFonts w:ascii="黑体" w:eastAsia="黑体" w:hAnsi="黑体" w:cs="黑体"/>
        </w:rPr>
        <w:t xml:space="preserve">5.4 </w:t>
      </w:r>
      <w:proofErr w:type="gramStart"/>
      <w:r>
        <w:t>调整声</w:t>
      </w:r>
      <w:proofErr w:type="gramEnd"/>
      <w:r>
        <w:t>环境功能区类别需进行充分的说明。严格控制</w:t>
      </w:r>
      <w:r>
        <w:rPr>
          <w:rFonts w:ascii="Times New Roman" w:eastAsia="Times New Roman" w:hAnsi="Times New Roman" w:cs="Times New Roman"/>
        </w:rPr>
        <w:t>4</w:t>
      </w:r>
      <w:r>
        <w:t>类声环境功能区范围。</w:t>
      </w:r>
    </w:p>
    <w:p w:rsidR="00C5460D" w:rsidRDefault="00564628">
      <w:pPr>
        <w:spacing w:after="373"/>
        <w:ind w:left="-5"/>
      </w:pPr>
      <w:r>
        <w:rPr>
          <w:rFonts w:ascii="黑体" w:eastAsia="黑体" w:hAnsi="黑体" w:cs="黑体"/>
        </w:rPr>
        <w:t xml:space="preserve">5.5 </w:t>
      </w:r>
      <w:r>
        <w:t>根据城市规模和用地变化情况，噪声区划可适时调整，原则上不超过5年调整一次。</w:t>
      </w:r>
    </w:p>
    <w:p w:rsidR="00C5460D" w:rsidRDefault="00564628">
      <w:pPr>
        <w:pStyle w:val="1"/>
        <w:spacing w:after="256"/>
        <w:ind w:left="299" w:hanging="314"/>
      </w:pPr>
      <w:bookmarkStart w:id="7" w:name="_Toc406153801"/>
      <w:r>
        <w:t>区划的主要依据</w:t>
      </w:r>
      <w:bookmarkEnd w:id="7"/>
    </w:p>
    <w:p w:rsidR="00C5460D" w:rsidRDefault="00564628">
      <w:pPr>
        <w:spacing w:after="250"/>
        <w:ind w:left="-5"/>
      </w:pPr>
      <w:r>
        <w:rPr>
          <w:rFonts w:ascii="黑体" w:eastAsia="黑体" w:hAnsi="黑体" w:cs="黑体"/>
        </w:rPr>
        <w:t xml:space="preserve">6.1 </w:t>
      </w:r>
      <w:r>
        <w:t>GB 3096中各类标准适用区域。</w:t>
      </w:r>
    </w:p>
    <w:p w:rsidR="00C5460D" w:rsidRDefault="00564628">
      <w:pPr>
        <w:spacing w:after="250"/>
        <w:ind w:left="-5"/>
      </w:pPr>
      <w:r>
        <w:rPr>
          <w:rFonts w:ascii="黑体" w:eastAsia="黑体" w:hAnsi="黑体" w:cs="黑体"/>
        </w:rPr>
        <w:t xml:space="preserve">6.2 </w:t>
      </w:r>
      <w:r>
        <w:t>城市性质、结构特征、城市规划及城市用地现状。</w:t>
      </w:r>
    </w:p>
    <w:p w:rsidR="00C5460D" w:rsidRDefault="00564628">
      <w:pPr>
        <w:spacing w:after="253"/>
        <w:ind w:left="-5"/>
      </w:pPr>
      <w:r>
        <w:rPr>
          <w:rFonts w:ascii="黑体" w:eastAsia="黑体" w:hAnsi="黑体" w:cs="黑体"/>
        </w:rPr>
        <w:t xml:space="preserve">6.3 </w:t>
      </w:r>
      <w:r>
        <w:t>区域环境噪声污染特点和城市环境噪声管理的要求。</w:t>
      </w:r>
    </w:p>
    <w:p w:rsidR="00C5460D" w:rsidRDefault="00564628">
      <w:pPr>
        <w:spacing w:after="370"/>
        <w:ind w:left="-5"/>
      </w:pPr>
      <w:r>
        <w:rPr>
          <w:rFonts w:ascii="黑体" w:eastAsia="黑体" w:hAnsi="黑体" w:cs="黑体"/>
        </w:rPr>
        <w:t xml:space="preserve">6.4 </w:t>
      </w:r>
      <w:r>
        <w:t>城市的行政区划及城市的地形地貌。</w:t>
      </w:r>
    </w:p>
    <w:p w:rsidR="00C5460D" w:rsidRDefault="00564628">
      <w:pPr>
        <w:pStyle w:val="1"/>
        <w:spacing w:after="256"/>
        <w:ind w:left="299" w:hanging="314"/>
      </w:pPr>
      <w:bookmarkStart w:id="8" w:name="_Toc406153802"/>
      <w:r>
        <w:lastRenderedPageBreak/>
        <w:t>区划的程序</w:t>
      </w:r>
      <w:bookmarkEnd w:id="8"/>
    </w:p>
    <w:p w:rsidR="00C5460D" w:rsidRDefault="00564628">
      <w:pPr>
        <w:spacing w:line="379" w:lineRule="auto"/>
        <w:ind w:left="-5"/>
      </w:pPr>
      <w:r>
        <w:rPr>
          <w:rFonts w:ascii="黑体" w:eastAsia="黑体" w:hAnsi="黑体" w:cs="黑体"/>
        </w:rPr>
        <w:t xml:space="preserve">7.1 </w:t>
      </w:r>
      <w:r>
        <w:t>准备区划工作资料：城市区域用地现状统计资料、声环境质量现状统计资料、城市总体规划、分区规划和比例适当的工作底图。</w:t>
      </w:r>
    </w:p>
    <w:p w:rsidR="00C5460D" w:rsidRDefault="00564628">
      <w:pPr>
        <w:spacing w:after="250"/>
        <w:ind w:left="-5"/>
      </w:pPr>
      <w:r>
        <w:rPr>
          <w:rFonts w:ascii="黑体" w:eastAsia="黑体" w:hAnsi="黑体" w:cs="黑体"/>
        </w:rPr>
        <w:t xml:space="preserve">7.2 </w:t>
      </w:r>
      <w:r>
        <w:t>确定区划单元，依据区划方法初步划定各区划单元的区域类型。</w:t>
      </w:r>
    </w:p>
    <w:p w:rsidR="00C5460D" w:rsidRDefault="00564628">
      <w:pPr>
        <w:spacing w:after="99" w:line="379" w:lineRule="auto"/>
        <w:ind w:left="-5"/>
      </w:pPr>
      <w:r>
        <w:rPr>
          <w:rFonts w:ascii="黑体" w:eastAsia="黑体" w:hAnsi="黑体" w:cs="黑体"/>
        </w:rPr>
        <w:t xml:space="preserve">7.3 </w:t>
      </w:r>
      <w:r>
        <w:t>把多个区域类型相同且相邻的单元连成片，充分利用交通干线（主干线及以上级别）、区行政边界、河流、沟壑、绿地等地形地貌作为区划边界。</w:t>
      </w:r>
    </w:p>
    <w:p w:rsidR="00C5460D" w:rsidRDefault="00564628">
      <w:pPr>
        <w:spacing w:after="253"/>
        <w:ind w:left="-5"/>
      </w:pPr>
      <w:r>
        <w:rPr>
          <w:rFonts w:ascii="黑体" w:eastAsia="黑体" w:hAnsi="黑体" w:cs="黑体"/>
        </w:rPr>
        <w:t xml:space="preserve">7.4 </w:t>
      </w:r>
      <w:r>
        <w:t>对初步划定的区划方案进行分析、调整，并征求相关部门意见。</w:t>
      </w:r>
    </w:p>
    <w:p w:rsidR="00C5460D" w:rsidRDefault="00564628">
      <w:pPr>
        <w:spacing w:after="250"/>
        <w:ind w:left="-5"/>
      </w:pPr>
      <w:r>
        <w:rPr>
          <w:rFonts w:ascii="黑体" w:eastAsia="黑体" w:hAnsi="黑体" w:cs="黑体"/>
        </w:rPr>
        <w:t xml:space="preserve">7.5 </w:t>
      </w:r>
      <w:r>
        <w:t>确定区划方案并绘制区划图。</w:t>
      </w:r>
    </w:p>
    <w:p w:rsidR="00C5460D" w:rsidRDefault="00564628">
      <w:pPr>
        <w:spacing w:after="99" w:line="379" w:lineRule="auto"/>
        <w:ind w:left="-5"/>
      </w:pPr>
      <w:r>
        <w:rPr>
          <w:rFonts w:ascii="黑体" w:eastAsia="黑体" w:hAnsi="黑体" w:cs="黑体"/>
        </w:rPr>
        <w:t xml:space="preserve">7.6 </w:t>
      </w:r>
      <w:r>
        <w:t>系统整理区划工作报告、区划方案、区划图等资料。区划方案由地方环境保护主管部门组织评审。</w:t>
      </w:r>
    </w:p>
    <w:p w:rsidR="00C5460D" w:rsidRDefault="00564628">
      <w:pPr>
        <w:spacing w:after="219" w:line="379" w:lineRule="auto"/>
        <w:ind w:left="-5"/>
      </w:pPr>
      <w:r>
        <w:rPr>
          <w:rFonts w:ascii="黑体" w:eastAsia="黑体" w:hAnsi="黑体" w:cs="黑体"/>
        </w:rPr>
        <w:t xml:space="preserve">7.7 </w:t>
      </w:r>
      <w:r>
        <w:t>地方环境保护行政主管部门将区划方案报当地人民政府审批、公布实施。并报上级环境保护主管部门备案。</w:t>
      </w:r>
    </w:p>
    <w:p w:rsidR="00C5460D" w:rsidRDefault="00564628">
      <w:pPr>
        <w:pStyle w:val="1"/>
        <w:spacing w:after="258"/>
        <w:ind w:left="299" w:hanging="314"/>
      </w:pPr>
      <w:bookmarkStart w:id="9" w:name="_Toc406153803"/>
      <w:r>
        <w:t>区划的方法</w:t>
      </w:r>
      <w:bookmarkEnd w:id="9"/>
    </w:p>
    <w:p w:rsidR="00C5460D" w:rsidRDefault="00564628">
      <w:pPr>
        <w:spacing w:after="262" w:line="259" w:lineRule="auto"/>
        <w:ind w:left="-5"/>
      </w:pPr>
      <w:r>
        <w:rPr>
          <w:rFonts w:ascii="黑体" w:eastAsia="黑体" w:hAnsi="黑体" w:cs="黑体"/>
        </w:rPr>
        <w:t>8.1 区划的划分次序</w:t>
      </w:r>
    </w:p>
    <w:p w:rsidR="00C5460D" w:rsidRDefault="00564628">
      <w:pPr>
        <w:spacing w:line="379" w:lineRule="auto"/>
        <w:ind w:left="-15" w:firstLine="420"/>
      </w:pPr>
      <w:r>
        <w:t>区划宜首先对</w:t>
      </w:r>
      <w:r>
        <w:rPr>
          <w:rFonts w:ascii="Times New Roman" w:eastAsia="Times New Roman" w:hAnsi="Times New Roman" w:cs="Times New Roman"/>
        </w:rPr>
        <w:t>0</w:t>
      </w:r>
      <w:r>
        <w:t>、</w:t>
      </w:r>
      <w:r>
        <w:rPr>
          <w:rFonts w:ascii="Times New Roman" w:eastAsia="Times New Roman" w:hAnsi="Times New Roman" w:cs="Times New Roman"/>
        </w:rPr>
        <w:t>1</w:t>
      </w:r>
      <w:r>
        <w:t>、</w:t>
      </w:r>
      <w:r>
        <w:rPr>
          <w:rFonts w:ascii="Times New Roman" w:eastAsia="Times New Roman" w:hAnsi="Times New Roman" w:cs="Times New Roman"/>
        </w:rPr>
        <w:t>3</w:t>
      </w:r>
      <w:r>
        <w:t>类声环境功能区确认划分，余下区域划分为</w:t>
      </w:r>
      <w:r>
        <w:rPr>
          <w:rFonts w:ascii="Times New Roman" w:eastAsia="Times New Roman" w:hAnsi="Times New Roman" w:cs="Times New Roman"/>
        </w:rPr>
        <w:t>2</w:t>
      </w:r>
      <w:r>
        <w:t>类声环境功能区，在此基础上划分</w:t>
      </w:r>
      <w:r>
        <w:rPr>
          <w:rFonts w:ascii="Times New Roman" w:eastAsia="Times New Roman" w:hAnsi="Times New Roman" w:cs="Times New Roman"/>
        </w:rPr>
        <w:t>4</w:t>
      </w:r>
      <w:r>
        <w:t>类声环境功能区。</w:t>
      </w:r>
    </w:p>
    <w:p w:rsidR="00C5460D" w:rsidRDefault="00564628">
      <w:pPr>
        <w:spacing w:after="145" w:line="259" w:lineRule="auto"/>
        <w:ind w:left="-5"/>
      </w:pPr>
      <w:r>
        <w:rPr>
          <w:rFonts w:ascii="黑体" w:eastAsia="黑体" w:hAnsi="黑体" w:cs="黑体"/>
        </w:rPr>
        <w:t>8.2 0～3类声环境功能区划分</w:t>
      </w:r>
    </w:p>
    <w:p w:rsidR="00C5460D" w:rsidRDefault="00564628">
      <w:pPr>
        <w:spacing w:after="105" w:line="379" w:lineRule="auto"/>
        <w:ind w:left="-5"/>
      </w:pPr>
      <w:r>
        <w:rPr>
          <w:rFonts w:ascii="黑体" w:eastAsia="黑体" w:hAnsi="黑体" w:cs="黑体"/>
        </w:rPr>
        <w:t xml:space="preserve">8.2.1 </w:t>
      </w:r>
      <w:r>
        <w:rPr>
          <w:rFonts w:ascii="Times New Roman" w:eastAsia="Times New Roman" w:hAnsi="Times New Roman" w:cs="Times New Roman"/>
        </w:rPr>
        <w:t xml:space="preserve">0 </w:t>
      </w:r>
      <w:proofErr w:type="gramStart"/>
      <w:r>
        <w:t>类声环境</w:t>
      </w:r>
      <w:proofErr w:type="gramEnd"/>
      <w:r>
        <w:t>功能区适用于康复疗养区等特别需要安静的区域。该区域内及附近区域应无明显噪声源，区域界限明确。</w:t>
      </w:r>
    </w:p>
    <w:p w:rsidR="00C5460D" w:rsidRDefault="00564628">
      <w:pPr>
        <w:ind w:left="-5"/>
      </w:pPr>
      <w:r>
        <w:rPr>
          <w:rFonts w:ascii="黑体" w:eastAsia="黑体" w:hAnsi="黑体" w:cs="黑体"/>
        </w:rPr>
        <w:t xml:space="preserve">8.2.2 </w:t>
      </w:r>
      <w:r>
        <w:t xml:space="preserve">符合下列条件之一的划为 </w:t>
      </w:r>
      <w:r>
        <w:rPr>
          <w:rFonts w:ascii="Times New Roman" w:eastAsia="Times New Roman" w:hAnsi="Times New Roman" w:cs="Times New Roman"/>
        </w:rPr>
        <w:t xml:space="preserve">1 </w:t>
      </w:r>
      <w:proofErr w:type="gramStart"/>
      <w:r>
        <w:t>类声环境</w:t>
      </w:r>
      <w:proofErr w:type="gramEnd"/>
      <w:r>
        <w:t>功能区：</w:t>
      </w:r>
    </w:p>
    <w:p w:rsidR="00C5460D" w:rsidRDefault="00564628">
      <w:pPr>
        <w:numPr>
          <w:ilvl w:val="0"/>
          <w:numId w:val="1"/>
        </w:numPr>
        <w:ind w:hanging="278"/>
      </w:pPr>
      <w:r>
        <w:t>城市用地现状已形成一定规模或近期规划已明确主要功能的区域，其用地性质符合</w:t>
      </w:r>
    </w:p>
    <w:p w:rsidR="00C5460D" w:rsidRDefault="00564628">
      <w:pPr>
        <w:ind w:left="-5"/>
      </w:pPr>
      <w:r>
        <w:rPr>
          <w:rFonts w:ascii="Times New Roman" w:eastAsia="Times New Roman" w:hAnsi="Times New Roman" w:cs="Times New Roman"/>
        </w:rPr>
        <w:t xml:space="preserve">4.2 </w:t>
      </w:r>
      <w:r>
        <w:t>条规定的区域；</w:t>
      </w:r>
    </w:p>
    <w:p w:rsidR="00C5460D" w:rsidRDefault="00564628">
      <w:pPr>
        <w:numPr>
          <w:ilvl w:val="0"/>
          <w:numId w:val="1"/>
        </w:numPr>
        <w:spacing w:after="256"/>
        <w:ind w:hanging="278"/>
      </w:pPr>
      <w:r>
        <w:t xml:space="preserve">Ⅰ类用地占地率大于 </w:t>
      </w:r>
      <w:r>
        <w:rPr>
          <w:rFonts w:ascii="Times New Roman" w:eastAsia="Times New Roman" w:hAnsi="Times New Roman" w:cs="Times New Roman"/>
        </w:rPr>
        <w:t>70%</w:t>
      </w:r>
      <w:r>
        <w:t xml:space="preserve">（含 </w:t>
      </w:r>
      <w:r>
        <w:rPr>
          <w:rFonts w:ascii="Times New Roman" w:eastAsia="Times New Roman" w:hAnsi="Times New Roman" w:cs="Times New Roman"/>
        </w:rPr>
        <w:t>70%</w:t>
      </w:r>
      <w:r>
        <w:t>）的混合用地区域。</w:t>
      </w:r>
    </w:p>
    <w:p w:rsidR="00C5460D" w:rsidRDefault="00564628">
      <w:pPr>
        <w:ind w:left="-5"/>
      </w:pPr>
      <w:r>
        <w:rPr>
          <w:rFonts w:ascii="黑体" w:eastAsia="黑体" w:hAnsi="黑体" w:cs="黑体"/>
        </w:rPr>
        <w:t xml:space="preserve">8.2.3 </w:t>
      </w:r>
      <w:r>
        <w:t xml:space="preserve">符合下列条件之一的划为 </w:t>
      </w:r>
      <w:r>
        <w:rPr>
          <w:rFonts w:ascii="Times New Roman" w:eastAsia="Times New Roman" w:hAnsi="Times New Roman" w:cs="Times New Roman"/>
        </w:rPr>
        <w:t xml:space="preserve">2 </w:t>
      </w:r>
      <w:proofErr w:type="gramStart"/>
      <w:r>
        <w:t>类声环境</w:t>
      </w:r>
      <w:proofErr w:type="gramEnd"/>
      <w:r>
        <w:t>功能区：</w:t>
      </w:r>
    </w:p>
    <w:p w:rsidR="00C5460D" w:rsidRDefault="00564628">
      <w:pPr>
        <w:numPr>
          <w:ilvl w:val="0"/>
          <w:numId w:val="2"/>
        </w:numPr>
        <w:ind w:hanging="278"/>
      </w:pPr>
      <w:r>
        <w:t>城市用地现状已形成一定规模或近期规划已明确主要功能的区域，其用地性质符合</w:t>
      </w:r>
    </w:p>
    <w:p w:rsidR="00C5460D" w:rsidRDefault="00564628">
      <w:pPr>
        <w:ind w:left="-5"/>
      </w:pPr>
      <w:r>
        <w:rPr>
          <w:rFonts w:ascii="Times New Roman" w:eastAsia="Times New Roman" w:hAnsi="Times New Roman" w:cs="Times New Roman"/>
        </w:rPr>
        <w:t xml:space="preserve">4.3 </w:t>
      </w:r>
      <w:r>
        <w:t>条规定的区域；</w:t>
      </w:r>
    </w:p>
    <w:p w:rsidR="00C5460D" w:rsidRDefault="00564628">
      <w:pPr>
        <w:numPr>
          <w:ilvl w:val="0"/>
          <w:numId w:val="2"/>
        </w:numPr>
        <w:spacing w:after="258"/>
        <w:ind w:hanging="278"/>
      </w:pPr>
      <w:r>
        <w:t xml:space="preserve">划定的 </w:t>
      </w:r>
      <w:r>
        <w:rPr>
          <w:rFonts w:ascii="Times New Roman" w:eastAsia="Times New Roman" w:hAnsi="Times New Roman" w:cs="Times New Roman"/>
        </w:rPr>
        <w:t>0</w:t>
      </w:r>
      <w:r>
        <w:t>、</w:t>
      </w:r>
      <w:r>
        <w:rPr>
          <w:rFonts w:ascii="Times New Roman" w:eastAsia="Times New Roman" w:hAnsi="Times New Roman" w:cs="Times New Roman"/>
        </w:rPr>
        <w:t>1</w:t>
      </w:r>
      <w:r>
        <w:t>、</w:t>
      </w:r>
      <w:r>
        <w:rPr>
          <w:rFonts w:ascii="Times New Roman" w:eastAsia="Times New Roman" w:hAnsi="Times New Roman" w:cs="Times New Roman"/>
        </w:rPr>
        <w:t xml:space="preserve">3 </w:t>
      </w:r>
      <w:proofErr w:type="gramStart"/>
      <w:r>
        <w:t>类声环境</w:t>
      </w:r>
      <w:proofErr w:type="gramEnd"/>
      <w:r>
        <w:t>功能区以外居住、商业、工业混杂区域。</w:t>
      </w:r>
    </w:p>
    <w:p w:rsidR="00C5460D" w:rsidRDefault="00564628">
      <w:pPr>
        <w:ind w:left="-5"/>
      </w:pPr>
      <w:r>
        <w:rPr>
          <w:rFonts w:ascii="黑体" w:eastAsia="黑体" w:hAnsi="黑体" w:cs="黑体"/>
        </w:rPr>
        <w:lastRenderedPageBreak/>
        <w:t xml:space="preserve">8.2.4 </w:t>
      </w:r>
      <w:r>
        <w:t xml:space="preserve">符合下列条件之一的划为 </w:t>
      </w:r>
      <w:r>
        <w:rPr>
          <w:rFonts w:ascii="Times New Roman" w:eastAsia="Times New Roman" w:hAnsi="Times New Roman" w:cs="Times New Roman"/>
        </w:rPr>
        <w:t xml:space="preserve">3 </w:t>
      </w:r>
      <w:proofErr w:type="gramStart"/>
      <w:r>
        <w:t>类声环境</w:t>
      </w:r>
      <w:proofErr w:type="gramEnd"/>
      <w:r>
        <w:t>功能区：</w:t>
      </w:r>
    </w:p>
    <w:p w:rsidR="00C5460D" w:rsidRDefault="00564628">
      <w:pPr>
        <w:numPr>
          <w:ilvl w:val="0"/>
          <w:numId w:val="3"/>
        </w:numPr>
        <w:ind w:hanging="278"/>
      </w:pPr>
      <w:r>
        <w:t>城市用地现状已形成一定规模或近期规划已明确主要功能的区域，其用地性质符合</w:t>
      </w:r>
    </w:p>
    <w:p w:rsidR="00C5460D" w:rsidRDefault="00564628">
      <w:pPr>
        <w:ind w:left="-5"/>
      </w:pPr>
      <w:r>
        <w:rPr>
          <w:rFonts w:ascii="Times New Roman" w:eastAsia="Times New Roman" w:hAnsi="Times New Roman" w:cs="Times New Roman"/>
        </w:rPr>
        <w:t xml:space="preserve">4.4 </w:t>
      </w:r>
      <w:r>
        <w:t>条规定的区域；</w:t>
      </w:r>
    </w:p>
    <w:p w:rsidR="00C5460D" w:rsidRDefault="00564628">
      <w:pPr>
        <w:numPr>
          <w:ilvl w:val="0"/>
          <w:numId w:val="3"/>
        </w:numPr>
        <w:spacing w:after="250"/>
        <w:ind w:hanging="278"/>
      </w:pPr>
      <w:r>
        <w:t xml:space="preserve">Ⅱ类用地占地率大于 </w:t>
      </w:r>
      <w:r>
        <w:rPr>
          <w:rFonts w:ascii="Times New Roman" w:eastAsia="Times New Roman" w:hAnsi="Times New Roman" w:cs="Times New Roman"/>
        </w:rPr>
        <w:t>70%</w:t>
      </w:r>
      <w:r>
        <w:t xml:space="preserve">（含 </w:t>
      </w:r>
      <w:r>
        <w:rPr>
          <w:rFonts w:ascii="Times New Roman" w:eastAsia="Times New Roman" w:hAnsi="Times New Roman" w:cs="Times New Roman"/>
        </w:rPr>
        <w:t>70%</w:t>
      </w:r>
      <w:r>
        <w:t>）的混合用地区域。</w:t>
      </w:r>
    </w:p>
    <w:p w:rsidR="00C5460D" w:rsidRDefault="00564628">
      <w:pPr>
        <w:spacing w:after="118" w:line="259" w:lineRule="auto"/>
        <w:ind w:left="-5"/>
      </w:pPr>
      <w:r>
        <w:rPr>
          <w:rFonts w:ascii="黑体" w:eastAsia="黑体" w:hAnsi="黑体" w:cs="黑体"/>
        </w:rPr>
        <w:t>8.3 4类声环境功能区划分</w:t>
      </w:r>
    </w:p>
    <w:p w:rsidR="00C5460D" w:rsidRDefault="00564628">
      <w:pPr>
        <w:spacing w:after="249"/>
        <w:ind w:left="-5"/>
      </w:pPr>
      <w:r>
        <w:rPr>
          <w:rFonts w:ascii="黑体" w:eastAsia="黑体" w:hAnsi="黑体" w:cs="黑体"/>
        </w:rPr>
        <w:t xml:space="preserve">8.3.1 </w:t>
      </w:r>
      <w:r>
        <w:rPr>
          <w:rFonts w:ascii="Times New Roman" w:eastAsia="Times New Roman" w:hAnsi="Times New Roman" w:cs="Times New Roman"/>
        </w:rPr>
        <w:t>4a</w:t>
      </w:r>
      <w:proofErr w:type="gramStart"/>
      <w:r>
        <w:t>类声环境</w:t>
      </w:r>
      <w:proofErr w:type="gramEnd"/>
      <w:r>
        <w:t>功能区划分</w:t>
      </w:r>
    </w:p>
    <w:p w:rsidR="00C5460D" w:rsidRDefault="00564628">
      <w:pPr>
        <w:spacing w:after="0" w:line="379" w:lineRule="auto"/>
        <w:ind w:left="-5"/>
      </w:pPr>
      <w:r>
        <w:rPr>
          <w:rFonts w:ascii="黑体" w:eastAsia="黑体" w:hAnsi="黑体" w:cs="黑体"/>
        </w:rPr>
        <w:t xml:space="preserve">8.3.1.1 </w:t>
      </w:r>
      <w:r>
        <w:t>将交通干线边界线外一定距离内的区域划分为4a</w:t>
      </w:r>
      <w:proofErr w:type="gramStart"/>
      <w:r>
        <w:t>类声环境</w:t>
      </w:r>
      <w:proofErr w:type="gramEnd"/>
      <w:r>
        <w:t>功能区。距离的确定方法如下：</w:t>
      </w:r>
    </w:p>
    <w:p w:rsidR="00C5460D" w:rsidRDefault="00564628">
      <w:pPr>
        <w:numPr>
          <w:ilvl w:val="0"/>
          <w:numId w:val="4"/>
        </w:numPr>
        <w:ind w:right="2870" w:hanging="372"/>
      </w:pPr>
      <w:r>
        <w:t xml:space="preserve">相邻区域为 </w:t>
      </w:r>
      <w:r>
        <w:rPr>
          <w:rFonts w:ascii="Times New Roman" w:eastAsia="Times New Roman" w:hAnsi="Times New Roman" w:cs="Times New Roman"/>
        </w:rPr>
        <w:t xml:space="preserve">1 </w:t>
      </w:r>
      <w:proofErr w:type="gramStart"/>
      <w:r>
        <w:t>类声环境</w:t>
      </w:r>
      <w:proofErr w:type="gramEnd"/>
      <w:r>
        <w:t xml:space="preserve">功能区，距离为 </w:t>
      </w:r>
      <w:r>
        <w:rPr>
          <w:rFonts w:ascii="Times New Roman" w:eastAsia="Times New Roman" w:hAnsi="Times New Roman" w:cs="Times New Roman"/>
        </w:rPr>
        <w:t>50m</w:t>
      </w:r>
      <w:r>
        <w:t>±</w:t>
      </w:r>
      <w:r>
        <w:rPr>
          <w:rFonts w:ascii="Times New Roman" w:eastAsia="Times New Roman" w:hAnsi="Times New Roman" w:cs="Times New Roman"/>
        </w:rPr>
        <w:t>5m</w:t>
      </w:r>
      <w:r>
        <w:t>；</w:t>
      </w:r>
    </w:p>
    <w:p w:rsidR="00C5460D" w:rsidRDefault="00564628">
      <w:pPr>
        <w:numPr>
          <w:ilvl w:val="0"/>
          <w:numId w:val="4"/>
        </w:numPr>
        <w:spacing w:line="381" w:lineRule="auto"/>
        <w:ind w:right="2870" w:hanging="372"/>
      </w:pPr>
      <w:r>
        <w:t xml:space="preserve">相邻区域为 </w:t>
      </w:r>
      <w:r>
        <w:rPr>
          <w:rFonts w:ascii="Times New Roman" w:eastAsia="Times New Roman" w:hAnsi="Times New Roman" w:cs="Times New Roman"/>
        </w:rPr>
        <w:t xml:space="preserve">2 </w:t>
      </w:r>
      <w:proofErr w:type="gramStart"/>
      <w:r>
        <w:t>类声环境</w:t>
      </w:r>
      <w:proofErr w:type="gramEnd"/>
      <w:r>
        <w:t xml:space="preserve">功能区，距离为 </w:t>
      </w:r>
      <w:r>
        <w:rPr>
          <w:rFonts w:ascii="Times New Roman" w:eastAsia="Times New Roman" w:hAnsi="Times New Roman" w:cs="Times New Roman"/>
        </w:rPr>
        <w:t>35m</w:t>
      </w:r>
      <w:r>
        <w:t>±</w:t>
      </w:r>
      <w:r>
        <w:rPr>
          <w:rFonts w:ascii="Times New Roman" w:eastAsia="Times New Roman" w:hAnsi="Times New Roman" w:cs="Times New Roman"/>
        </w:rPr>
        <w:t>5m</w:t>
      </w:r>
      <w:r>
        <w:t xml:space="preserve">； </w:t>
      </w:r>
      <w:r>
        <w:rPr>
          <w:rFonts w:ascii="Times New Roman" w:eastAsia="Times New Roman" w:hAnsi="Times New Roman" w:cs="Times New Roman"/>
        </w:rPr>
        <w:t xml:space="preserve">c) </w:t>
      </w:r>
      <w:r>
        <w:t xml:space="preserve">相邻区域为 </w:t>
      </w:r>
      <w:r>
        <w:rPr>
          <w:rFonts w:ascii="Times New Roman" w:eastAsia="Times New Roman" w:hAnsi="Times New Roman" w:cs="Times New Roman"/>
        </w:rPr>
        <w:t xml:space="preserve">3 </w:t>
      </w:r>
      <w:proofErr w:type="gramStart"/>
      <w:r>
        <w:t>类声环境</w:t>
      </w:r>
      <w:proofErr w:type="gramEnd"/>
      <w:r>
        <w:t xml:space="preserve">功能区，距离为 </w:t>
      </w:r>
      <w:r>
        <w:rPr>
          <w:rFonts w:ascii="Times New Roman" w:eastAsia="Times New Roman" w:hAnsi="Times New Roman" w:cs="Times New Roman"/>
        </w:rPr>
        <w:t>20m</w:t>
      </w:r>
      <w:r>
        <w:t>±</w:t>
      </w:r>
      <w:r>
        <w:rPr>
          <w:rFonts w:ascii="Times New Roman" w:eastAsia="Times New Roman" w:hAnsi="Times New Roman" w:cs="Times New Roman"/>
        </w:rPr>
        <w:t>5m</w:t>
      </w:r>
      <w:r>
        <w:t>。</w:t>
      </w:r>
    </w:p>
    <w:p w:rsidR="00C5460D" w:rsidRDefault="00564628">
      <w:pPr>
        <w:spacing w:after="105" w:line="379" w:lineRule="auto"/>
        <w:ind w:left="-5"/>
      </w:pPr>
      <w:r>
        <w:rPr>
          <w:rFonts w:ascii="黑体" w:eastAsia="黑体" w:hAnsi="黑体" w:cs="黑体"/>
        </w:rPr>
        <w:t xml:space="preserve">8.3.1.2 </w:t>
      </w:r>
      <w:r>
        <w:t>当临街建筑高于三层楼房以上（含三层）时，将临街建筑面向交通干线一侧至交通干线边界线的区域定为4a</w:t>
      </w:r>
      <w:proofErr w:type="gramStart"/>
      <w:r>
        <w:t>类声环境</w:t>
      </w:r>
      <w:proofErr w:type="gramEnd"/>
      <w:r>
        <w:t>功能区。</w:t>
      </w:r>
    </w:p>
    <w:p w:rsidR="00C5460D" w:rsidRDefault="00564628">
      <w:pPr>
        <w:ind w:left="-5"/>
      </w:pPr>
      <w:r>
        <w:rPr>
          <w:rFonts w:ascii="黑体" w:eastAsia="黑体" w:hAnsi="黑体" w:cs="黑体"/>
        </w:rPr>
        <w:t xml:space="preserve">8.3.2 </w:t>
      </w:r>
      <w:r>
        <w:rPr>
          <w:rFonts w:ascii="Times New Roman" w:eastAsia="Times New Roman" w:hAnsi="Times New Roman" w:cs="Times New Roman"/>
        </w:rPr>
        <w:t xml:space="preserve">4b </w:t>
      </w:r>
      <w:proofErr w:type="gramStart"/>
      <w:r>
        <w:t>类声环境</w:t>
      </w:r>
      <w:proofErr w:type="gramEnd"/>
      <w:r>
        <w:t>功能区划分</w:t>
      </w:r>
    </w:p>
    <w:p w:rsidR="00C5460D" w:rsidRDefault="00564628">
      <w:pPr>
        <w:ind w:left="430"/>
      </w:pPr>
      <w:r>
        <w:t xml:space="preserve">交通干线边界线外一定距离以内的区域划分为 </w:t>
      </w:r>
      <w:r>
        <w:rPr>
          <w:rFonts w:ascii="Times New Roman" w:eastAsia="Times New Roman" w:hAnsi="Times New Roman" w:cs="Times New Roman"/>
        </w:rPr>
        <w:t xml:space="preserve">4b </w:t>
      </w:r>
      <w:proofErr w:type="gramStart"/>
      <w:r>
        <w:t>类声环境</w:t>
      </w:r>
      <w:proofErr w:type="gramEnd"/>
      <w:r>
        <w:t>功能区。距离的确定方法同</w:t>
      </w:r>
    </w:p>
    <w:p w:rsidR="00C5460D" w:rsidRDefault="00564628">
      <w:pPr>
        <w:spacing w:after="128"/>
        <w:ind w:left="10"/>
      </w:pPr>
      <w:r>
        <w:rPr>
          <w:rFonts w:ascii="Times New Roman" w:eastAsia="Times New Roman" w:hAnsi="Times New Roman" w:cs="Times New Roman"/>
        </w:rPr>
        <w:t xml:space="preserve">8.3.1.1 </w:t>
      </w:r>
      <w:r>
        <w:t>款。</w:t>
      </w:r>
    </w:p>
    <w:p w:rsidR="00C5460D" w:rsidRDefault="00564628">
      <w:pPr>
        <w:spacing w:after="0" w:line="379" w:lineRule="auto"/>
        <w:ind w:left="-5"/>
      </w:pPr>
      <w:r>
        <w:rPr>
          <w:rFonts w:ascii="黑体" w:eastAsia="黑体" w:hAnsi="黑体" w:cs="黑体"/>
        </w:rPr>
        <w:t xml:space="preserve">8.3.3 </w:t>
      </w:r>
      <w:r>
        <w:t xml:space="preserve">划分 </w:t>
      </w:r>
      <w:r>
        <w:rPr>
          <w:rFonts w:ascii="Times New Roman" w:eastAsia="Times New Roman" w:hAnsi="Times New Roman" w:cs="Times New Roman"/>
        </w:rPr>
        <w:t xml:space="preserve">4 </w:t>
      </w:r>
      <w:proofErr w:type="gramStart"/>
      <w:r>
        <w:t>类声环境</w:t>
      </w:r>
      <w:proofErr w:type="gramEnd"/>
      <w:r>
        <w:t>功能区时，不同的道路、不同的路段、同路段的两侧及道路的同侧其距离可以不统一。</w:t>
      </w:r>
    </w:p>
    <w:p w:rsidR="00C5460D" w:rsidRDefault="00564628">
      <w:pPr>
        <w:spacing w:after="251"/>
        <w:ind w:left="-5"/>
      </w:pPr>
      <w:r>
        <w:rPr>
          <w:rFonts w:ascii="黑体" w:eastAsia="黑体" w:hAnsi="黑体" w:cs="黑体"/>
        </w:rPr>
        <w:t xml:space="preserve">8.3.4 </w:t>
      </w:r>
      <w:r>
        <w:t xml:space="preserve">各地划分时，应按照 </w:t>
      </w:r>
      <w:r>
        <w:rPr>
          <w:rFonts w:ascii="Times New Roman" w:eastAsia="Times New Roman" w:hAnsi="Times New Roman" w:cs="Times New Roman"/>
        </w:rPr>
        <w:t xml:space="preserve">8.3.1.1 </w:t>
      </w:r>
      <w:r>
        <w:t>款规定的距离范围确定具体值。</w:t>
      </w:r>
    </w:p>
    <w:p w:rsidR="00C5460D" w:rsidRDefault="00564628">
      <w:pPr>
        <w:spacing w:after="118" w:line="259" w:lineRule="auto"/>
        <w:ind w:left="-5"/>
      </w:pPr>
      <w:r>
        <w:rPr>
          <w:rFonts w:ascii="黑体" w:eastAsia="黑体" w:hAnsi="黑体" w:cs="黑体"/>
        </w:rPr>
        <w:t xml:space="preserve">8.4 </w:t>
      </w:r>
      <w:proofErr w:type="gramStart"/>
      <w:r>
        <w:rPr>
          <w:rFonts w:ascii="黑体" w:eastAsia="黑体" w:hAnsi="黑体" w:cs="黑体"/>
        </w:rPr>
        <w:t>乡村声</w:t>
      </w:r>
      <w:proofErr w:type="gramEnd"/>
      <w:r>
        <w:rPr>
          <w:rFonts w:ascii="黑体" w:eastAsia="黑体" w:hAnsi="黑体" w:cs="黑体"/>
        </w:rPr>
        <w:t>环境功能的确定</w:t>
      </w:r>
    </w:p>
    <w:p w:rsidR="00C5460D" w:rsidRDefault="00564628">
      <w:pPr>
        <w:spacing w:after="368"/>
        <w:ind w:left="430"/>
      </w:pPr>
      <w:proofErr w:type="gramStart"/>
      <w:r>
        <w:t>乡村声</w:t>
      </w:r>
      <w:proofErr w:type="gramEnd"/>
      <w:r>
        <w:t xml:space="preserve">环境功能的确定，按 </w:t>
      </w:r>
      <w:r>
        <w:rPr>
          <w:rFonts w:ascii="Times New Roman" w:eastAsia="Times New Roman" w:hAnsi="Times New Roman" w:cs="Times New Roman"/>
        </w:rPr>
        <w:t xml:space="preserve">GB3096 </w:t>
      </w:r>
      <w:r>
        <w:t>的规定执行。</w:t>
      </w:r>
    </w:p>
    <w:p w:rsidR="00C5460D" w:rsidRDefault="00564628">
      <w:pPr>
        <w:pStyle w:val="1"/>
        <w:spacing w:after="256"/>
        <w:ind w:left="299" w:hanging="314"/>
      </w:pPr>
      <w:bookmarkStart w:id="10" w:name="_Toc406153804"/>
      <w:r>
        <w:t>其他规定</w:t>
      </w:r>
      <w:bookmarkEnd w:id="10"/>
    </w:p>
    <w:p w:rsidR="00C5460D" w:rsidRDefault="00564628">
      <w:pPr>
        <w:spacing w:after="99" w:line="379" w:lineRule="auto"/>
        <w:ind w:left="-5"/>
      </w:pPr>
      <w:r>
        <w:rPr>
          <w:rFonts w:ascii="黑体" w:eastAsia="黑体" w:hAnsi="黑体" w:cs="黑体"/>
        </w:rPr>
        <w:t xml:space="preserve">9.1 </w:t>
      </w:r>
      <w:r>
        <w:t>大型工业区中的生活小区，根据其与生产现场的距离和环境噪声现状水平，可从工业区中划出，定为2类或1类声环境功能区。</w:t>
      </w:r>
    </w:p>
    <w:p w:rsidR="00C5460D" w:rsidRDefault="00564628">
      <w:pPr>
        <w:spacing w:after="102" w:line="381" w:lineRule="auto"/>
        <w:ind w:left="-5"/>
      </w:pPr>
      <w:r>
        <w:rPr>
          <w:rFonts w:ascii="黑体" w:eastAsia="黑体" w:hAnsi="黑体" w:cs="黑体"/>
        </w:rPr>
        <w:t xml:space="preserve">9.2 </w:t>
      </w:r>
      <w:r>
        <w:t>铁路和城市轨道交通（地面）场站、公交枢纽、港口站场、高速公路服务区等具有一定规模的交通服务区域，划为4a类或4b</w:t>
      </w:r>
      <w:proofErr w:type="gramStart"/>
      <w:r>
        <w:t>类声环境</w:t>
      </w:r>
      <w:proofErr w:type="gramEnd"/>
      <w:r>
        <w:t>功能区。</w:t>
      </w:r>
    </w:p>
    <w:p w:rsidR="00C5460D" w:rsidRDefault="00564628">
      <w:pPr>
        <w:spacing w:after="250"/>
        <w:ind w:left="-5"/>
      </w:pPr>
      <w:r>
        <w:rPr>
          <w:rFonts w:ascii="黑体" w:eastAsia="黑体" w:hAnsi="黑体" w:cs="黑体"/>
        </w:rPr>
        <w:t xml:space="preserve">9.3 </w:t>
      </w:r>
      <w:r>
        <w:t>尽量避免</w:t>
      </w:r>
      <w:r>
        <w:rPr>
          <w:rFonts w:ascii="Times New Roman" w:eastAsia="Times New Roman" w:hAnsi="Times New Roman" w:cs="Times New Roman"/>
        </w:rPr>
        <w:t>0</w:t>
      </w:r>
      <w:r>
        <w:t>类声环境</w:t>
      </w:r>
      <w:proofErr w:type="gramStart"/>
      <w:r>
        <w:t>功能区紧临</w:t>
      </w:r>
      <w:proofErr w:type="gramEnd"/>
      <w:r>
        <w:rPr>
          <w:rFonts w:ascii="Times New Roman" w:eastAsia="Times New Roman" w:hAnsi="Times New Roman" w:cs="Times New Roman"/>
        </w:rPr>
        <w:t>3</w:t>
      </w:r>
      <w:r>
        <w:t>类、</w:t>
      </w:r>
      <w:r>
        <w:rPr>
          <w:rFonts w:ascii="Times New Roman" w:eastAsia="Times New Roman" w:hAnsi="Times New Roman" w:cs="Times New Roman"/>
        </w:rPr>
        <w:t>4</w:t>
      </w:r>
      <w:r>
        <w:t>类声环境功能区的情况。</w:t>
      </w:r>
    </w:p>
    <w:p w:rsidR="00C5460D" w:rsidRDefault="00564628">
      <w:pPr>
        <w:spacing w:after="101" w:line="379" w:lineRule="auto"/>
        <w:ind w:left="-5"/>
      </w:pPr>
      <w:r>
        <w:rPr>
          <w:rFonts w:ascii="黑体" w:eastAsia="黑体" w:hAnsi="黑体" w:cs="黑体"/>
        </w:rPr>
        <w:lastRenderedPageBreak/>
        <w:t xml:space="preserve">9.4 </w:t>
      </w:r>
      <w:r>
        <w:t>近期内区域功能与规划目标相差较大的区域，以用地现状作为区划的主要依据；随着城市规划的逐步实现，及时</w:t>
      </w:r>
      <w:proofErr w:type="gramStart"/>
      <w:r>
        <w:t>调整声</w:t>
      </w:r>
      <w:proofErr w:type="gramEnd"/>
      <w:r>
        <w:t>环境功能区。</w:t>
      </w:r>
    </w:p>
    <w:p w:rsidR="00C5460D" w:rsidRDefault="00564628">
      <w:pPr>
        <w:spacing w:after="99" w:line="379" w:lineRule="auto"/>
        <w:ind w:left="-5"/>
      </w:pPr>
      <w:r>
        <w:rPr>
          <w:rFonts w:ascii="黑体" w:eastAsia="黑体" w:hAnsi="黑体" w:cs="黑体"/>
        </w:rPr>
        <w:t xml:space="preserve">9.5 </w:t>
      </w:r>
      <w:r>
        <w:t>未建成的规划区内，按其规划性质或按</w:t>
      </w:r>
      <w:proofErr w:type="gramStart"/>
      <w:r>
        <w:t>区域声</w:t>
      </w:r>
      <w:proofErr w:type="gramEnd"/>
      <w:r>
        <w:t>环境质量现状，结合可能的发展划定区域类型。</w:t>
      </w:r>
    </w:p>
    <w:p w:rsidR="00C5460D" w:rsidRDefault="00564628">
      <w:pPr>
        <w:ind w:left="-5"/>
      </w:pPr>
      <w:r>
        <w:rPr>
          <w:rFonts w:ascii="黑体" w:eastAsia="黑体" w:hAnsi="黑体" w:cs="黑体"/>
        </w:rPr>
        <w:t xml:space="preserve">9.6 </w:t>
      </w:r>
      <w:r>
        <w:t>区划图图示</w:t>
      </w:r>
    </w:p>
    <w:p w:rsidR="00C5460D" w:rsidRDefault="00564628">
      <w:pPr>
        <w:ind w:left="430"/>
      </w:pPr>
      <w:r>
        <w:t xml:space="preserve">区划图用不同颜色或阴影线在相应地图上绘制，各区域的颜色或阴影线规定如表 </w:t>
      </w:r>
      <w:r>
        <w:rPr>
          <w:rFonts w:ascii="Times New Roman" w:eastAsia="Times New Roman" w:hAnsi="Times New Roman" w:cs="Times New Roman"/>
        </w:rPr>
        <w:t>1</w:t>
      </w:r>
      <w:r>
        <w:t>。</w:t>
      </w:r>
    </w:p>
    <w:p w:rsidR="00C5460D" w:rsidRDefault="00564628">
      <w:pPr>
        <w:spacing w:after="0" w:line="259" w:lineRule="auto"/>
        <w:ind w:left="2508"/>
      </w:pPr>
      <w:r>
        <w:rPr>
          <w:rFonts w:ascii="黑体" w:eastAsia="黑体" w:hAnsi="黑体" w:cs="黑体"/>
        </w:rPr>
        <w:t xml:space="preserve">表1 </w:t>
      </w:r>
      <w:proofErr w:type="gramStart"/>
      <w:r>
        <w:rPr>
          <w:rFonts w:ascii="黑体" w:eastAsia="黑体" w:hAnsi="黑体" w:cs="黑体"/>
        </w:rPr>
        <w:t>各类声环境</w:t>
      </w:r>
      <w:proofErr w:type="gramEnd"/>
      <w:r>
        <w:rPr>
          <w:rFonts w:ascii="黑体" w:eastAsia="黑体" w:hAnsi="黑体" w:cs="黑体"/>
        </w:rPr>
        <w:t>功能区图示表</w:t>
      </w:r>
    </w:p>
    <w:tbl>
      <w:tblPr>
        <w:tblStyle w:val="TableGrid"/>
        <w:tblW w:w="8562" w:type="dxa"/>
        <w:tblInd w:w="-215" w:type="dxa"/>
        <w:tblCellMar>
          <w:top w:w="18" w:type="dxa"/>
          <w:bottom w:w="30" w:type="dxa"/>
          <w:right w:w="105" w:type="dxa"/>
        </w:tblCellMar>
        <w:tblLook w:val="04A0" w:firstRow="1" w:lastRow="0" w:firstColumn="1" w:lastColumn="0" w:noHBand="0" w:noVBand="1"/>
      </w:tblPr>
      <w:tblGrid>
        <w:gridCol w:w="2625"/>
        <w:gridCol w:w="1443"/>
        <w:gridCol w:w="1606"/>
        <w:gridCol w:w="1444"/>
        <w:gridCol w:w="1444"/>
      </w:tblGrid>
      <w:tr w:rsidR="00C5460D">
        <w:trPr>
          <w:trHeight w:val="539"/>
        </w:trPr>
        <w:tc>
          <w:tcPr>
            <w:tcW w:w="2625" w:type="dxa"/>
            <w:vMerge w:val="restart"/>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1" w:firstLine="0"/>
              <w:jc w:val="center"/>
            </w:pPr>
            <w:r>
              <w:t>区域类别</w:t>
            </w:r>
          </w:p>
        </w:tc>
        <w:tc>
          <w:tcPr>
            <w:tcW w:w="1443" w:type="dxa"/>
            <w:tcBorders>
              <w:top w:val="single" w:sz="4" w:space="0" w:color="000000"/>
              <w:left w:val="single" w:sz="4" w:space="0" w:color="000000"/>
              <w:bottom w:val="single" w:sz="4" w:space="0" w:color="000000"/>
              <w:right w:val="nil"/>
            </w:tcBorders>
            <w:vAlign w:val="center"/>
          </w:tcPr>
          <w:p w:rsidR="00C5460D" w:rsidRDefault="00C5460D">
            <w:pPr>
              <w:spacing w:after="160" w:line="259" w:lineRule="auto"/>
              <w:ind w:left="0" w:firstLine="0"/>
            </w:pPr>
          </w:p>
        </w:tc>
        <w:tc>
          <w:tcPr>
            <w:tcW w:w="1606" w:type="dxa"/>
            <w:tcBorders>
              <w:top w:val="single" w:sz="4" w:space="0" w:color="000000"/>
              <w:left w:val="nil"/>
              <w:bottom w:val="single" w:sz="4" w:space="0" w:color="000000"/>
              <w:right w:val="single" w:sz="4" w:space="0" w:color="000000"/>
            </w:tcBorders>
            <w:vAlign w:val="center"/>
          </w:tcPr>
          <w:p w:rsidR="00C5460D" w:rsidRDefault="00564628">
            <w:pPr>
              <w:spacing w:after="0" w:line="259" w:lineRule="auto"/>
              <w:ind w:left="-129" w:firstLine="0"/>
            </w:pPr>
            <w:r>
              <w:t>颜色</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阴影线</w:t>
            </w:r>
          </w:p>
        </w:tc>
      </w:tr>
      <w:tr w:rsidR="00C5460D">
        <w:trPr>
          <w:trHeight w:val="538"/>
        </w:trPr>
        <w:tc>
          <w:tcPr>
            <w:tcW w:w="0" w:type="auto"/>
            <w:vMerge/>
            <w:tcBorders>
              <w:top w:val="nil"/>
              <w:left w:val="single" w:sz="4" w:space="0" w:color="000000"/>
              <w:bottom w:val="single" w:sz="4" w:space="0" w:color="000000"/>
              <w:right w:val="single" w:sz="4" w:space="0" w:color="000000"/>
            </w:tcBorders>
            <w:vAlign w:val="center"/>
          </w:tcPr>
          <w:p w:rsidR="00C5460D" w:rsidRDefault="00C5460D">
            <w:pPr>
              <w:spacing w:after="160" w:line="259" w:lineRule="auto"/>
              <w:ind w:left="0" w:firstLine="0"/>
            </w:pP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1" w:firstLine="0"/>
              <w:jc w:val="center"/>
            </w:pPr>
            <w:r>
              <w:t>名称</w:t>
            </w:r>
          </w:p>
        </w:tc>
        <w:tc>
          <w:tcPr>
            <w:tcW w:w="1606"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5" w:firstLine="0"/>
              <w:jc w:val="center"/>
            </w:pPr>
            <w:r>
              <w:t>图示</w:t>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名称</w:t>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4" w:firstLine="0"/>
              <w:jc w:val="center"/>
            </w:pPr>
            <w:r>
              <w:t>图示</w:t>
            </w:r>
          </w:p>
        </w:tc>
      </w:tr>
      <w:tr w:rsidR="00C5460D">
        <w:trPr>
          <w:trHeight w:val="626"/>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0类声环境功能区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浅黄色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09" w:firstLine="0"/>
            </w:pPr>
            <w:r>
              <w:rPr>
                <w:rFonts w:ascii="Times New Roman" w:eastAsia="Times New Roman" w:hAnsi="Times New Roman" w:cs="Times New Roman"/>
                <w:sz w:val="18"/>
              </w:rPr>
              <w:t>RGB(255,255,153)</w:t>
            </w:r>
            <w:r>
              <w:rPr>
                <w:noProof/>
              </w:rPr>
              <w:drawing>
                <wp:inline distT="0" distB="0" distL="0" distR="0">
                  <wp:extent cx="765048" cy="240792"/>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14"/>
                          <a:stretch>
                            <a:fillRect/>
                          </a:stretch>
                        </pic:blipFill>
                        <pic:spPr>
                          <a:xfrm>
                            <a:off x="0" y="0"/>
                            <a:ext cx="765048" cy="240792"/>
                          </a:xfrm>
                          <a:prstGeom prst="rect">
                            <a:avLst/>
                          </a:prstGeom>
                        </pic:spPr>
                      </pic:pic>
                    </a:graphicData>
                  </a:graphic>
                </wp:inline>
              </w:drawing>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小点</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28" name="Picture 828"/>
                  <wp:cNvGraphicFramePr/>
                  <a:graphic xmlns:a="http://schemas.openxmlformats.org/drawingml/2006/main">
                    <a:graphicData uri="http://schemas.openxmlformats.org/drawingml/2006/picture">
                      <pic:pic xmlns:pic="http://schemas.openxmlformats.org/drawingml/2006/picture">
                        <pic:nvPicPr>
                          <pic:cNvPr id="828" name="Picture 828"/>
                          <pic:cNvPicPr/>
                        </pic:nvPicPr>
                        <pic:blipFill>
                          <a:blip r:embed="rId15"/>
                          <a:stretch>
                            <a:fillRect/>
                          </a:stretch>
                        </pic:blipFill>
                        <pic:spPr>
                          <a:xfrm>
                            <a:off x="0" y="0"/>
                            <a:ext cx="765048" cy="240792"/>
                          </a:xfrm>
                          <a:prstGeom prst="rect">
                            <a:avLst/>
                          </a:prstGeom>
                        </pic:spPr>
                      </pic:pic>
                    </a:graphicData>
                  </a:graphic>
                </wp:inline>
              </w:drawing>
            </w:r>
          </w:p>
        </w:tc>
      </w:tr>
      <w:tr w:rsidR="00C5460D">
        <w:trPr>
          <w:trHeight w:val="626"/>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1类声环境功能区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浅绿色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09" w:firstLine="0"/>
            </w:pPr>
            <w:r>
              <w:rPr>
                <w:rFonts w:ascii="Times New Roman" w:eastAsia="Times New Roman" w:hAnsi="Times New Roman" w:cs="Times New Roman"/>
                <w:sz w:val="18"/>
              </w:rPr>
              <w:t>RGB(204,255,204)</w:t>
            </w:r>
            <w:r>
              <w:rPr>
                <w:noProof/>
              </w:rPr>
              <w:drawing>
                <wp:inline distT="0" distB="0" distL="0" distR="0">
                  <wp:extent cx="765048" cy="240792"/>
                  <wp:effectExtent l="0" t="0" r="0" b="0"/>
                  <wp:docPr id="833" name="Picture 833"/>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16"/>
                          <a:stretch>
                            <a:fillRect/>
                          </a:stretch>
                        </pic:blipFill>
                        <pic:spPr>
                          <a:xfrm>
                            <a:off x="0" y="0"/>
                            <a:ext cx="765048" cy="240792"/>
                          </a:xfrm>
                          <a:prstGeom prst="rect">
                            <a:avLst/>
                          </a:prstGeom>
                        </pic:spPr>
                      </pic:pic>
                    </a:graphicData>
                  </a:graphic>
                </wp:inline>
              </w:drawing>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6" w:firstLine="0"/>
            </w:pPr>
            <w:r>
              <w:t>垂直线</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37" name="Pictu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17"/>
                          <a:stretch>
                            <a:fillRect/>
                          </a:stretch>
                        </pic:blipFill>
                        <pic:spPr>
                          <a:xfrm>
                            <a:off x="0" y="0"/>
                            <a:ext cx="765048" cy="240792"/>
                          </a:xfrm>
                          <a:prstGeom prst="rect">
                            <a:avLst/>
                          </a:prstGeom>
                        </pic:spPr>
                      </pic:pic>
                    </a:graphicData>
                  </a:graphic>
                </wp:inline>
              </w:drawing>
            </w:r>
          </w:p>
        </w:tc>
      </w:tr>
      <w:tr w:rsidR="00C5460D">
        <w:trPr>
          <w:trHeight w:val="627"/>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2类声环境功能区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浅蓝色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55" w:firstLine="0"/>
            </w:pPr>
            <w:r>
              <w:rPr>
                <w:rFonts w:ascii="Times New Roman" w:eastAsia="Times New Roman" w:hAnsi="Times New Roman" w:cs="Times New Roman"/>
                <w:sz w:val="18"/>
              </w:rPr>
              <w:t>RGB(51,102,204)</w:t>
            </w:r>
            <w:r>
              <w:rPr>
                <w:noProof/>
              </w:rPr>
              <w:drawing>
                <wp:inline distT="0" distB="0" distL="0" distR="0">
                  <wp:extent cx="765048" cy="240792"/>
                  <wp:effectExtent l="0" t="0" r="0" b="0"/>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18"/>
                          <a:stretch>
                            <a:fillRect/>
                          </a:stretch>
                        </pic:blipFill>
                        <pic:spPr>
                          <a:xfrm>
                            <a:off x="0" y="0"/>
                            <a:ext cx="765048" cy="240792"/>
                          </a:xfrm>
                          <a:prstGeom prst="rect">
                            <a:avLst/>
                          </a:prstGeom>
                        </pic:spPr>
                      </pic:pic>
                    </a:graphicData>
                  </a:graphic>
                </wp:inline>
              </w:drawing>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斜线</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19"/>
                          <a:stretch>
                            <a:fillRect/>
                          </a:stretch>
                        </pic:blipFill>
                        <pic:spPr>
                          <a:xfrm>
                            <a:off x="0" y="0"/>
                            <a:ext cx="765048" cy="240792"/>
                          </a:xfrm>
                          <a:prstGeom prst="rect">
                            <a:avLst/>
                          </a:prstGeom>
                        </pic:spPr>
                      </pic:pic>
                    </a:graphicData>
                  </a:graphic>
                </wp:inline>
              </w:drawing>
            </w:r>
          </w:p>
        </w:tc>
      </w:tr>
      <w:tr w:rsidR="00C5460D">
        <w:trPr>
          <w:trHeight w:val="626"/>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3类声环境功能区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褐 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04" w:firstLine="0"/>
              <w:jc w:val="center"/>
            </w:pPr>
            <w:r>
              <w:rPr>
                <w:noProof/>
              </w:rPr>
              <w:drawing>
                <wp:inline distT="0" distB="0" distL="0" distR="0">
                  <wp:extent cx="765048" cy="240792"/>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20"/>
                          <a:stretch>
                            <a:fillRect/>
                          </a:stretch>
                        </pic:blipFill>
                        <pic:spPr>
                          <a:xfrm>
                            <a:off x="0" y="0"/>
                            <a:ext cx="765048" cy="240792"/>
                          </a:xfrm>
                          <a:prstGeom prst="rect">
                            <a:avLst/>
                          </a:prstGeom>
                        </pic:spPr>
                      </pic:pic>
                    </a:graphicData>
                  </a:graphic>
                </wp:inline>
              </w:drawing>
            </w:r>
            <w:r>
              <w:rPr>
                <w:rFonts w:ascii="Times New Roman" w:eastAsia="Times New Roman" w:hAnsi="Times New Roman" w:cs="Times New Roman"/>
                <w:sz w:val="18"/>
              </w:rPr>
              <w:t>RGB(153,51,0)</w:t>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6" w:firstLine="0"/>
            </w:pPr>
            <w:r>
              <w:t>交叉线</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21"/>
                          <a:stretch>
                            <a:fillRect/>
                          </a:stretch>
                        </pic:blipFill>
                        <pic:spPr>
                          <a:xfrm>
                            <a:off x="0" y="0"/>
                            <a:ext cx="765048" cy="240792"/>
                          </a:xfrm>
                          <a:prstGeom prst="rect">
                            <a:avLst/>
                          </a:prstGeom>
                        </pic:spPr>
                      </pic:pic>
                    </a:graphicData>
                  </a:graphic>
                </wp:inline>
              </w:drawing>
            </w:r>
          </w:p>
        </w:tc>
      </w:tr>
      <w:tr w:rsidR="00C5460D">
        <w:trPr>
          <w:trHeight w:val="626"/>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4a</w:t>
            </w:r>
            <w:proofErr w:type="gramStart"/>
            <w:r>
              <w:t>类声环境</w:t>
            </w:r>
            <w:proofErr w:type="gramEnd"/>
            <w:r>
              <w:t>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红 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04" w:firstLine="0"/>
              <w:jc w:val="center"/>
            </w:pPr>
            <w:r>
              <w:rPr>
                <w:noProof/>
              </w:rPr>
              <w:drawing>
                <wp:inline distT="0" distB="0" distL="0" distR="0">
                  <wp:extent cx="765048" cy="240792"/>
                  <wp:effectExtent l="0" t="0" r="0" b="0"/>
                  <wp:docPr id="862" name="Picture 862"/>
                  <wp:cNvGraphicFramePr/>
                  <a:graphic xmlns:a="http://schemas.openxmlformats.org/drawingml/2006/main">
                    <a:graphicData uri="http://schemas.openxmlformats.org/drawingml/2006/picture">
                      <pic:pic xmlns:pic="http://schemas.openxmlformats.org/drawingml/2006/picture">
                        <pic:nvPicPr>
                          <pic:cNvPr id="862" name="Picture 862"/>
                          <pic:cNvPicPr/>
                        </pic:nvPicPr>
                        <pic:blipFill>
                          <a:blip r:embed="rId22"/>
                          <a:stretch>
                            <a:fillRect/>
                          </a:stretch>
                        </pic:blipFill>
                        <pic:spPr>
                          <a:xfrm>
                            <a:off x="0" y="0"/>
                            <a:ext cx="765048" cy="240792"/>
                          </a:xfrm>
                          <a:prstGeom prst="rect">
                            <a:avLst/>
                          </a:prstGeom>
                        </pic:spPr>
                      </pic:pic>
                    </a:graphicData>
                  </a:graphic>
                </wp:inline>
              </w:drawing>
            </w:r>
            <w:r>
              <w:rPr>
                <w:rFonts w:ascii="Times New Roman" w:eastAsia="Times New Roman" w:hAnsi="Times New Roman" w:cs="Times New Roman"/>
                <w:sz w:val="18"/>
              </w:rPr>
              <w:t>RGB(255,0,0)</w:t>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6" w:firstLine="0"/>
            </w:pPr>
            <w:r>
              <w:t>粗黑线</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23"/>
                          <a:stretch>
                            <a:fillRect/>
                          </a:stretch>
                        </pic:blipFill>
                        <pic:spPr>
                          <a:xfrm>
                            <a:off x="0" y="0"/>
                            <a:ext cx="765048" cy="240792"/>
                          </a:xfrm>
                          <a:prstGeom prst="rect">
                            <a:avLst/>
                          </a:prstGeom>
                        </pic:spPr>
                      </pic:pic>
                    </a:graphicData>
                  </a:graphic>
                </wp:inline>
              </w:drawing>
            </w:r>
          </w:p>
        </w:tc>
      </w:tr>
      <w:tr w:rsidR="00C5460D">
        <w:trPr>
          <w:trHeight w:val="626"/>
        </w:trPr>
        <w:tc>
          <w:tcPr>
            <w:tcW w:w="2625"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103" w:firstLine="0"/>
              <w:jc w:val="center"/>
            </w:pPr>
            <w:r>
              <w:t>4b</w:t>
            </w:r>
            <w:proofErr w:type="gramStart"/>
            <w:r>
              <w:t>类声环境</w:t>
            </w:r>
            <w:proofErr w:type="gramEnd"/>
            <w:r>
              <w:t>功能区</w:t>
            </w:r>
          </w:p>
        </w:tc>
        <w:tc>
          <w:tcPr>
            <w:tcW w:w="1443"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5" w:firstLine="0"/>
            </w:pPr>
            <w:r>
              <w:t>紫 色</w:t>
            </w:r>
          </w:p>
        </w:tc>
        <w:tc>
          <w:tcPr>
            <w:tcW w:w="1606" w:type="dxa"/>
            <w:tcBorders>
              <w:top w:val="single" w:sz="4" w:space="0" w:color="000000"/>
              <w:left w:val="single" w:sz="4" w:space="0" w:color="000000"/>
              <w:bottom w:val="single" w:sz="4" w:space="0" w:color="000000"/>
              <w:right w:val="single" w:sz="4" w:space="0" w:color="000000"/>
            </w:tcBorders>
            <w:vAlign w:val="bottom"/>
          </w:tcPr>
          <w:p w:rsidR="00C5460D" w:rsidRDefault="00564628">
            <w:pPr>
              <w:spacing w:after="0" w:line="259" w:lineRule="auto"/>
              <w:ind w:left="107" w:firstLine="0"/>
              <w:jc w:val="center"/>
            </w:pPr>
            <w:r>
              <w:rPr>
                <w:rFonts w:ascii="Times New Roman" w:eastAsia="Times New Roman" w:hAnsi="Times New Roman" w:cs="Times New Roman"/>
                <w:sz w:val="18"/>
              </w:rPr>
              <w:t>RGB(128,0,128)</w:t>
            </w:r>
            <w:r>
              <w:rPr>
                <w:noProof/>
              </w:rPr>
              <w:drawing>
                <wp:inline distT="0" distB="0" distL="0" distR="0">
                  <wp:extent cx="765048" cy="240792"/>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24"/>
                          <a:stretch>
                            <a:fillRect/>
                          </a:stretch>
                        </pic:blipFill>
                        <pic:spPr>
                          <a:xfrm>
                            <a:off x="0" y="0"/>
                            <a:ext cx="765048" cy="240792"/>
                          </a:xfrm>
                          <a:prstGeom prst="rect">
                            <a:avLst/>
                          </a:prstGeom>
                        </pic:spPr>
                      </pic:pic>
                    </a:graphicData>
                  </a:graphic>
                </wp:inline>
              </w:drawing>
            </w:r>
          </w:p>
        </w:tc>
        <w:tc>
          <w:tcPr>
            <w:tcW w:w="1444" w:type="dxa"/>
            <w:tcBorders>
              <w:top w:val="single" w:sz="4" w:space="0" w:color="000000"/>
              <w:left w:val="single" w:sz="4" w:space="0" w:color="000000"/>
              <w:bottom w:val="single" w:sz="4" w:space="0" w:color="000000"/>
              <w:right w:val="single" w:sz="4" w:space="0" w:color="000000"/>
            </w:tcBorders>
            <w:vAlign w:val="center"/>
          </w:tcPr>
          <w:p w:rsidR="00C5460D" w:rsidRDefault="00564628">
            <w:pPr>
              <w:spacing w:after="0" w:line="259" w:lineRule="auto"/>
              <w:ind w:left="406" w:firstLine="0"/>
            </w:pPr>
            <w:r>
              <w:t>波浪线</w:t>
            </w:r>
          </w:p>
        </w:tc>
        <w:tc>
          <w:tcPr>
            <w:tcW w:w="1444" w:type="dxa"/>
            <w:tcBorders>
              <w:top w:val="single" w:sz="4" w:space="0" w:color="000000"/>
              <w:left w:val="single" w:sz="4" w:space="0" w:color="000000"/>
              <w:bottom w:val="single" w:sz="4" w:space="0" w:color="000000"/>
              <w:right w:val="single" w:sz="4" w:space="0" w:color="000000"/>
            </w:tcBorders>
          </w:tcPr>
          <w:p w:rsidR="00C5460D" w:rsidRDefault="00564628">
            <w:pPr>
              <w:spacing w:after="0" w:line="259" w:lineRule="auto"/>
              <w:ind w:left="119" w:firstLine="0"/>
            </w:pPr>
            <w:r>
              <w:rPr>
                <w:noProof/>
              </w:rPr>
              <w:drawing>
                <wp:inline distT="0" distB="0" distL="0" distR="0">
                  <wp:extent cx="765048" cy="240792"/>
                  <wp:effectExtent l="0" t="0" r="0" b="0"/>
                  <wp:docPr id="876" name="Picture 876"/>
                  <wp:cNvGraphicFramePr/>
                  <a:graphic xmlns:a="http://schemas.openxmlformats.org/drawingml/2006/main">
                    <a:graphicData uri="http://schemas.openxmlformats.org/drawingml/2006/picture">
                      <pic:pic xmlns:pic="http://schemas.openxmlformats.org/drawingml/2006/picture">
                        <pic:nvPicPr>
                          <pic:cNvPr id="876" name="Picture 876"/>
                          <pic:cNvPicPr/>
                        </pic:nvPicPr>
                        <pic:blipFill>
                          <a:blip r:embed="rId25"/>
                          <a:stretch>
                            <a:fillRect/>
                          </a:stretch>
                        </pic:blipFill>
                        <pic:spPr>
                          <a:xfrm>
                            <a:off x="0" y="0"/>
                            <a:ext cx="765048" cy="240792"/>
                          </a:xfrm>
                          <a:prstGeom prst="rect">
                            <a:avLst/>
                          </a:prstGeom>
                        </pic:spPr>
                      </pic:pic>
                    </a:graphicData>
                  </a:graphic>
                </wp:inline>
              </w:drawing>
            </w:r>
          </w:p>
        </w:tc>
      </w:tr>
    </w:tbl>
    <w:p w:rsidR="00C5460D" w:rsidRDefault="00564628">
      <w:pPr>
        <w:pStyle w:val="1"/>
        <w:ind w:left="407" w:hanging="422"/>
      </w:pPr>
      <w:bookmarkStart w:id="11" w:name="_Toc406153805"/>
      <w:r>
        <w:t>标准的实施</w:t>
      </w:r>
      <w:bookmarkEnd w:id="11"/>
    </w:p>
    <w:p w:rsidR="00C5460D" w:rsidRDefault="00564628">
      <w:pPr>
        <w:spacing w:after="1257" w:line="259" w:lineRule="auto"/>
        <w:ind w:left="0" w:right="1802" w:firstLine="0"/>
        <w:jc w:val="right"/>
      </w:pPr>
      <w:r>
        <w:t>本标准由县级以上人民政府环境保护行政主管部门负责组织实施。</w:t>
      </w:r>
    </w:p>
    <w:p w:rsidR="00C5460D" w:rsidRDefault="00564628">
      <w:pPr>
        <w:spacing w:after="0" w:line="259" w:lineRule="auto"/>
        <w:ind w:left="3044" w:firstLine="0"/>
      </w:pPr>
      <w:r>
        <w:rPr>
          <w:rFonts w:ascii="Calibri" w:eastAsia="Calibri" w:hAnsi="Calibri" w:cs="Calibri"/>
          <w:noProof/>
          <w:sz w:val="22"/>
        </w:rPr>
        <mc:AlternateContent>
          <mc:Choice Requires="wpg">
            <w:drawing>
              <wp:inline distT="0" distB="0" distL="0" distR="0">
                <wp:extent cx="1600200" cy="10160"/>
                <wp:effectExtent l="0" t="0" r="0" b="0"/>
                <wp:docPr id="5947" name="Group 5947"/>
                <wp:cNvGraphicFramePr/>
                <a:graphic xmlns:a="http://schemas.openxmlformats.org/drawingml/2006/main">
                  <a:graphicData uri="http://schemas.microsoft.com/office/word/2010/wordprocessingGroup">
                    <wpg:wgp>
                      <wpg:cNvGrpSpPr/>
                      <wpg:grpSpPr>
                        <a:xfrm>
                          <a:off x="0" y="0"/>
                          <a:ext cx="1600200" cy="10160"/>
                          <a:chOff x="0" y="0"/>
                          <a:chExt cx="1600200" cy="10160"/>
                        </a:xfrm>
                      </wpg:grpSpPr>
                      <wps:wsp>
                        <wps:cNvPr id="895" name="Shape 895"/>
                        <wps:cNvSpPr/>
                        <wps:spPr>
                          <a:xfrm>
                            <a:off x="0" y="0"/>
                            <a:ext cx="1600200" cy="10160"/>
                          </a:xfrm>
                          <a:custGeom>
                            <a:avLst/>
                            <a:gdLst/>
                            <a:ahLst/>
                            <a:cxnLst/>
                            <a:rect l="0" t="0" r="0" b="0"/>
                            <a:pathLst>
                              <a:path w="1600200" h="10160">
                                <a:moveTo>
                                  <a:pt x="0" y="0"/>
                                </a:moveTo>
                                <a:lnTo>
                                  <a:pt x="1600200" y="635"/>
                                </a:lnTo>
                                <a:lnTo>
                                  <a:pt x="1600200" y="10160"/>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0D381A" id="Group 5947" o:spid="_x0000_s1026" style="width:126pt;height:.8pt;mso-position-horizontal-relative:char;mso-position-vertical-relative:line" coordsize="160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">
                <v:shape id="Shape 895" o:spid="_x0000_s1027" style="position:absolute;width:16002;height:101;visibility:visible;mso-wrap-style:square;v-text-anchor:top" coordsize="16002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uMQA&#10;AADcAAAADwAAAGRycy9kb3ducmV2LnhtbESPQWvCQBSE7wX/w/IEb3VjQdHoKmJRhF5s1IO3Z/a5&#10;CWbfhuxq0n/fLRQ8DjPzDbNYdbYST2p86VjBaJiAIM6dLtkoOB2371MQPiBrrByTgh/ysFr23haY&#10;atfyNz2zYESEsE9RQRFCnUrp84Is+qGriaN3c43FEGVjpG6wjXBbyY8kmUiLJceFAmvaFJTfs4dV&#10;cDUHmX1iW+fhYk53/jrszpNWqUG/W89BBOrCK/zf3msF09kY/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vpLjEAAAA3AAAAA8AAAAAAAAAAAAAAAAAmAIAAGRycy9k&#10;b3ducmV2LnhtbFBLBQYAAAAABAAEAPUAAACJAwAAAAA=&#10;" path="m,l1600200,635r,9525l,9525,,xe" fillcolor="black" stroked="f" strokeweight="0">
                  <v:stroke joinstyle="bevel" endcap="square"/>
                  <v:path arrowok="t" textboxrect="0,0,1600200,10160"/>
                </v:shape>
                <w10:anchorlock/>
              </v:group>
            </w:pict>
          </mc:Fallback>
        </mc:AlternateContent>
      </w:r>
    </w:p>
    <w:sectPr w:rsidR="00C5460D">
      <w:headerReference w:type="even" r:id="rId26"/>
      <w:headerReference w:type="default" r:id="rId27"/>
      <w:footerReference w:type="even" r:id="rId28"/>
      <w:footerReference w:type="default" r:id="rId29"/>
      <w:headerReference w:type="first" r:id="rId30"/>
      <w:footerReference w:type="first" r:id="rId31"/>
      <w:pgSz w:w="11906" w:h="16838"/>
      <w:pgMar w:top="1686" w:right="1588" w:bottom="1510" w:left="1798" w:header="1428" w:footer="8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F4" w:rsidRDefault="00451EF4">
      <w:pPr>
        <w:spacing w:after="0" w:line="240" w:lineRule="auto"/>
      </w:pPr>
      <w:r>
        <w:separator/>
      </w:r>
    </w:p>
  </w:endnote>
  <w:endnote w:type="continuationSeparator" w:id="0">
    <w:p w:rsidR="00451EF4" w:rsidRDefault="0045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C5460D">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C5460D">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C5460D">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419"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419" w:firstLine="0"/>
      <w:jc w:val="right"/>
    </w:pPr>
    <w:r>
      <w:fldChar w:fldCharType="begin"/>
    </w:r>
    <w:r>
      <w:instrText xml:space="preserve"> PAGE   \* MERGEFORMAT </w:instrText>
    </w:r>
    <w:r>
      <w:fldChar w:fldCharType="separate"/>
    </w:r>
    <w:r w:rsidR="0089597C" w:rsidRPr="0089597C">
      <w:rPr>
        <w:rFonts w:ascii="Times New Roman" w:eastAsia="Times New Roman" w:hAnsi="Times New Roman" w:cs="Times New Roman"/>
        <w:noProof/>
        <w:sz w:val="18"/>
      </w:rPr>
      <w:t>6</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419"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F4" w:rsidRDefault="00451EF4">
      <w:pPr>
        <w:spacing w:after="0" w:line="240" w:lineRule="auto"/>
      </w:pPr>
      <w:r>
        <w:separator/>
      </w:r>
    </w:p>
  </w:footnote>
  <w:footnote w:type="continuationSeparator" w:id="0">
    <w:p w:rsidR="00451EF4" w:rsidRDefault="00451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53" w:firstLine="0"/>
      <w:jc w:val="right"/>
    </w:pPr>
    <w:r>
      <w:rPr>
        <w:rFonts w:ascii="Times New Roman" w:eastAsia="Times New Roman" w:hAnsi="Times New Roman" w:cs="Times New Roman"/>
      </w:rPr>
      <w:t>GB/T 15190—2014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53" w:firstLine="0"/>
      <w:jc w:val="right"/>
    </w:pPr>
    <w:r>
      <w:rPr>
        <w:rFonts w:ascii="Times New Roman" w:eastAsia="Times New Roman" w:hAnsi="Times New Roman" w:cs="Times New Roman"/>
      </w:rPr>
      <w:t>GB/T 15190—2014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C5460D">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205" w:firstLine="0"/>
      <w:jc w:val="right"/>
    </w:pPr>
    <w:r>
      <w:rPr>
        <w:rFonts w:ascii="Times New Roman" w:eastAsia="Times New Roman" w:hAnsi="Times New Roman" w:cs="Times New Roman"/>
      </w:rPr>
      <w:t>GB/T 15190—2014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205" w:firstLine="0"/>
      <w:jc w:val="right"/>
    </w:pPr>
    <w:r>
      <w:rPr>
        <w:rFonts w:ascii="Times New Roman" w:eastAsia="Times New Roman" w:hAnsi="Times New Roman" w:cs="Times New Roman"/>
      </w:rPr>
      <w:t>GB/T 15190—2014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0D" w:rsidRDefault="00564628">
    <w:pPr>
      <w:spacing w:after="0" w:line="259" w:lineRule="auto"/>
      <w:ind w:left="0" w:right="205" w:firstLine="0"/>
      <w:jc w:val="right"/>
    </w:pPr>
    <w:r>
      <w:rPr>
        <w:rFonts w:ascii="Times New Roman" w:eastAsia="Times New Roman" w:hAnsi="Times New Roman" w:cs="Times New Roman"/>
      </w:rPr>
      <w:t>GB/T 15190—2014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B39B6"/>
    <w:multiLevelType w:val="hybridMultilevel"/>
    <w:tmpl w:val="8F367A04"/>
    <w:lvl w:ilvl="0" w:tplc="5B425844">
      <w:start w:val="1"/>
      <w:numFmt w:val="lowerLetter"/>
      <w:lvlText w:val="%1)"/>
      <w:lvlJc w:val="left"/>
      <w:pPr>
        <w:ind w:left="6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66AD7D2">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6E8C116">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CC8F7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F9E1D6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B9C489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826D8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B8C515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7E52FA">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3A2908FD"/>
    <w:multiLevelType w:val="hybridMultilevel"/>
    <w:tmpl w:val="02CC8774"/>
    <w:lvl w:ilvl="0" w:tplc="D04CA306">
      <w:start w:val="1"/>
      <w:numFmt w:val="lowerLetter"/>
      <w:lvlText w:val="%1)"/>
      <w:lvlJc w:val="left"/>
      <w:pPr>
        <w:ind w:left="6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BE489CC">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E8654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52A0976">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E03B2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3EE4962">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986A95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9DEA3B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529CC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482F77F9"/>
    <w:multiLevelType w:val="hybridMultilevel"/>
    <w:tmpl w:val="AD261640"/>
    <w:lvl w:ilvl="0" w:tplc="DA5A5810">
      <w:start w:val="1"/>
      <w:numFmt w:val="lowerLetter"/>
      <w:lvlText w:val="%1)"/>
      <w:lvlJc w:val="left"/>
      <w:pPr>
        <w:ind w:left="7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C34A428">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58D5F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0869442">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DCE429E">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3A084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6056C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02C03C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3AAE67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60C76DE0"/>
    <w:multiLevelType w:val="hybridMultilevel"/>
    <w:tmpl w:val="E6C23320"/>
    <w:lvl w:ilvl="0" w:tplc="9F82E456">
      <w:start w:val="1"/>
      <w:numFmt w:val="decimal"/>
      <w:pStyle w:val="1"/>
      <w:lvlText w:val="%1"/>
      <w:lvlJc w:val="left"/>
      <w:pPr>
        <w:ind w:left="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1" w:tplc="4106F39E">
      <w:start w:val="1"/>
      <w:numFmt w:val="lowerLetter"/>
      <w:lvlText w:val="%2"/>
      <w:lvlJc w:val="left"/>
      <w:pPr>
        <w:ind w:left="108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2" w:tplc="BD669F28">
      <w:start w:val="1"/>
      <w:numFmt w:val="lowerRoman"/>
      <w:lvlText w:val="%3"/>
      <w:lvlJc w:val="left"/>
      <w:pPr>
        <w:ind w:left="180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3" w:tplc="3E48B91C">
      <w:start w:val="1"/>
      <w:numFmt w:val="decimal"/>
      <w:lvlText w:val="%4"/>
      <w:lvlJc w:val="left"/>
      <w:pPr>
        <w:ind w:left="252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4" w:tplc="E3B65502">
      <w:start w:val="1"/>
      <w:numFmt w:val="lowerLetter"/>
      <w:lvlText w:val="%5"/>
      <w:lvlJc w:val="left"/>
      <w:pPr>
        <w:ind w:left="324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5" w:tplc="C0F8A540">
      <w:start w:val="1"/>
      <w:numFmt w:val="lowerRoman"/>
      <w:lvlText w:val="%6"/>
      <w:lvlJc w:val="left"/>
      <w:pPr>
        <w:ind w:left="396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6" w:tplc="225A37EA">
      <w:start w:val="1"/>
      <w:numFmt w:val="decimal"/>
      <w:lvlText w:val="%7"/>
      <w:lvlJc w:val="left"/>
      <w:pPr>
        <w:ind w:left="468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7" w:tplc="7430DF64">
      <w:start w:val="1"/>
      <w:numFmt w:val="lowerLetter"/>
      <w:lvlText w:val="%8"/>
      <w:lvlJc w:val="left"/>
      <w:pPr>
        <w:ind w:left="540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lvl w:ilvl="8" w:tplc="AFE8D080">
      <w:start w:val="1"/>
      <w:numFmt w:val="lowerRoman"/>
      <w:lvlText w:val="%9"/>
      <w:lvlJc w:val="left"/>
      <w:pPr>
        <w:ind w:left="6120"/>
      </w:pPr>
      <w:rPr>
        <w:rFonts w:ascii="黑体" w:eastAsia="黑体" w:hAnsi="黑体" w:cs="黑体"/>
        <w:b w:val="0"/>
        <w:i w:val="0"/>
        <w:strike w:val="0"/>
        <w:dstrike w:val="0"/>
        <w:color w:val="000000"/>
        <w:sz w:val="21"/>
        <w:szCs w:val="21"/>
        <w:u w:val="none" w:color="000000"/>
        <w:bdr w:val="none" w:sz="0" w:space="0" w:color="auto"/>
        <w:shd w:val="clear" w:color="auto" w:fill="auto"/>
        <w:vertAlign w:val="baseline"/>
      </w:rPr>
    </w:lvl>
  </w:abstractNum>
  <w:abstractNum w:abstractNumId="4">
    <w:nsid w:val="6EE04537"/>
    <w:multiLevelType w:val="hybridMultilevel"/>
    <w:tmpl w:val="1380662E"/>
    <w:lvl w:ilvl="0" w:tplc="7062D270">
      <w:start w:val="1"/>
      <w:numFmt w:val="lowerLetter"/>
      <w:lvlText w:val="%1)"/>
      <w:lvlJc w:val="left"/>
      <w:pPr>
        <w:ind w:left="6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14685AA">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F4EED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26048B8">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A0ED3C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76BA08">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16AA98">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C42D1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B88BB1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0D"/>
    <w:rsid w:val="00451EF4"/>
    <w:rsid w:val="00564628"/>
    <w:rsid w:val="0089597C"/>
    <w:rsid w:val="00C2163D"/>
    <w:rsid w:val="00C5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B1511-C04B-46BF-8641-1B8A454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3" w:line="265" w:lineRule="auto"/>
      <w:ind w:left="116" w:hanging="10"/>
    </w:pPr>
    <w:rPr>
      <w:rFonts w:ascii="宋体" w:eastAsia="宋体" w:hAnsi="宋体" w:cs="宋体"/>
      <w:color w:val="000000"/>
    </w:rPr>
  </w:style>
  <w:style w:type="paragraph" w:styleId="1">
    <w:name w:val="heading 1"/>
    <w:next w:val="a"/>
    <w:link w:val="1Char"/>
    <w:uiPriority w:val="9"/>
    <w:unhideWhenUsed/>
    <w:qFormat/>
    <w:pPr>
      <w:keepNext/>
      <w:keepLines/>
      <w:numPr>
        <w:numId w:val="5"/>
      </w:numPr>
      <w:spacing w:after="118" w:line="259" w:lineRule="auto"/>
      <w:ind w:left="40" w:hanging="10"/>
      <w:outlineLvl w:val="0"/>
    </w:pPr>
    <w:rPr>
      <w:rFonts w:ascii="黑体" w:eastAsia="黑体" w:hAnsi="黑体" w:cs="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黑体" w:eastAsia="黑体" w:hAnsi="黑体" w:cs="黑体"/>
      <w:color w:val="000000"/>
      <w:sz w:val="21"/>
    </w:rPr>
  </w:style>
  <w:style w:type="paragraph" w:styleId="10">
    <w:name w:val="toc 1"/>
    <w:hidden/>
    <w:uiPriority w:val="39"/>
    <w:pPr>
      <w:spacing w:after="8407" w:line="265" w:lineRule="auto"/>
      <w:ind w:left="131" w:right="65" w:hanging="10"/>
    </w:pPr>
    <w:rPr>
      <w:rFonts w:ascii="Times New Roman" w:eastAsia="Times New Roman" w:hAnsi="Times New Roman" w:cs="Times New Roman"/>
      <w:color w:val="000000"/>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895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793</Words>
  <Characters>4524</Characters>
  <Application>Microsoft Office Word</Application>
  <DocSecurity>0</DocSecurity>
  <Lines>37</Lines>
  <Paragraphs>10</Paragraphs>
  <ScaleCrop>false</ScaleCrop>
  <Company>rwt</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lixiaoping</dc:creator>
  <cp:keywords/>
  <cp:lastModifiedBy>温涛</cp:lastModifiedBy>
  <cp:revision>4</cp:revision>
  <dcterms:created xsi:type="dcterms:W3CDTF">2014-12-12T04:41:00Z</dcterms:created>
  <dcterms:modified xsi:type="dcterms:W3CDTF">2014-12-12T05:21:00Z</dcterms:modified>
</cp:coreProperties>
</file>